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中国共产党安岳县委员会</w:t>
      </w:r>
    </w:p>
    <w:p>
      <w:pPr>
        <w:spacing w:line="59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巡察工作领导小组办公室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20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2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年单位预算编制说明</w:t>
      </w:r>
    </w:p>
    <w:p>
      <w:pPr>
        <w:spacing w:line="600" w:lineRule="exact"/>
        <w:ind w:left="0" w:leftChars="0" w:firstLine="0" w:firstLineChars="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bCs/>
          <w:szCs w:val="32"/>
          <w:lang w:val="en-US" w:eastAsia="zh-CN"/>
        </w:rPr>
        <w:t>一、基本职能及主要工作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jc w:val="left"/>
        <w:textAlignment w:val="auto"/>
        <w:rPr>
          <w:rFonts w:ascii="Times New Roman" w:hAnsi="Times New Roman" w:eastAsia="方正楷体_GBK"/>
          <w:b/>
          <w:color w:val="auto"/>
          <w:sz w:val="32"/>
          <w:szCs w:val="32"/>
        </w:rPr>
      </w:pPr>
      <w:r>
        <w:rPr>
          <w:rFonts w:ascii="Times New Roman" w:hAnsi="Times New Roman" w:eastAsia="方正楷体_GBK"/>
          <w:b/>
          <w:color w:val="auto"/>
          <w:sz w:val="32"/>
          <w:szCs w:val="32"/>
        </w:rPr>
        <w:t>（一）职能简介</w:t>
      </w: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中国共产党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安岳县</w:t>
      </w:r>
      <w:r>
        <w:rPr>
          <w:rFonts w:eastAsia="方正仿宋_GBK"/>
          <w:color w:val="000000"/>
          <w:sz w:val="32"/>
          <w:szCs w:val="32"/>
        </w:rPr>
        <w:t>委员会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巡察工作领导小组办公室</w:t>
      </w:r>
      <w:r>
        <w:rPr>
          <w:rFonts w:eastAsia="方正仿宋_GBK"/>
          <w:color w:val="000000"/>
          <w:sz w:val="32"/>
          <w:szCs w:val="32"/>
        </w:rPr>
        <w:t>（简称县委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巡察办</w:t>
      </w:r>
      <w:r>
        <w:rPr>
          <w:rFonts w:eastAsia="方正仿宋_GBK"/>
          <w:color w:val="000000"/>
          <w:sz w:val="32"/>
          <w:szCs w:val="32"/>
        </w:rPr>
        <w:t>），</w:t>
      </w:r>
      <w:r>
        <w:rPr>
          <w:rFonts w:hint="eastAsia" w:ascii="宋体" w:hAnsi="宋体" w:eastAsia="方正仿宋简体"/>
          <w:sz w:val="32"/>
          <w:szCs w:val="32"/>
        </w:rPr>
        <w:t>向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市</w:t>
      </w:r>
      <w:r>
        <w:rPr>
          <w:rFonts w:hint="eastAsia" w:ascii="宋体" w:hAnsi="宋体" w:eastAsia="方正仿宋简体"/>
          <w:sz w:val="32"/>
          <w:szCs w:val="32"/>
        </w:rPr>
        <w:t>委巡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察</w:t>
      </w:r>
      <w:r>
        <w:rPr>
          <w:rFonts w:hint="eastAsia" w:ascii="宋体" w:hAnsi="宋体" w:eastAsia="方正仿宋简体"/>
          <w:sz w:val="32"/>
          <w:szCs w:val="32"/>
        </w:rPr>
        <w:t>办和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委巡察工作领导小组报告工作情况，传达贯彻中央、省委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中央</w:t>
      </w:r>
      <w:r>
        <w:rPr>
          <w:rFonts w:hint="eastAsia" w:ascii="宋体" w:hAnsi="宋体" w:eastAsia="方正仿宋简体"/>
          <w:sz w:val="32"/>
          <w:szCs w:val="32"/>
        </w:rPr>
        <w:t>巡视办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省委</w:t>
      </w:r>
      <w:r>
        <w:rPr>
          <w:rFonts w:hint="eastAsia" w:ascii="宋体" w:hAnsi="宋体" w:eastAsia="方正仿宋简体"/>
          <w:sz w:val="32"/>
          <w:szCs w:val="32"/>
        </w:rPr>
        <w:t>巡视办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市委巡察办和县委、县</w:t>
      </w:r>
      <w:r>
        <w:rPr>
          <w:rFonts w:hint="eastAsia" w:ascii="宋体" w:hAnsi="宋体" w:eastAsia="方正仿宋简体"/>
          <w:sz w:val="32"/>
          <w:szCs w:val="32"/>
        </w:rPr>
        <w:t>委巡察工作领导小组的决策和部署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/>
          <w:sz w:val="32"/>
          <w:szCs w:val="32"/>
        </w:rPr>
        <w:t>统筹、协调、指导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委巡察组开展工作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/>
          <w:sz w:val="32"/>
          <w:szCs w:val="32"/>
        </w:rPr>
        <w:t>承担有关政策研究、制度建设等工作，组织起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草县</w:t>
      </w:r>
      <w:r>
        <w:rPr>
          <w:rFonts w:hint="eastAsia" w:ascii="宋体" w:hAnsi="宋体" w:eastAsia="方正仿宋简体"/>
          <w:sz w:val="32"/>
          <w:szCs w:val="32"/>
        </w:rPr>
        <w:t>委巡察工作规划、年度计划、年度巡察工作总结、巡察综合报告等重要材料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/>
          <w:sz w:val="32"/>
          <w:szCs w:val="32"/>
        </w:rPr>
        <w:t>对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市</w:t>
      </w:r>
      <w:r>
        <w:rPr>
          <w:rFonts w:hint="eastAsia" w:ascii="宋体" w:hAnsi="宋体" w:eastAsia="方正仿宋简体"/>
          <w:sz w:val="32"/>
          <w:szCs w:val="32"/>
        </w:rPr>
        <w:t>委巡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察</w:t>
      </w:r>
      <w:r>
        <w:rPr>
          <w:rFonts w:hint="eastAsia" w:ascii="宋体" w:hAnsi="宋体" w:eastAsia="方正仿宋简体"/>
          <w:sz w:val="32"/>
          <w:szCs w:val="32"/>
        </w:rPr>
        <w:t>办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委、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县委</w:t>
      </w:r>
      <w:r>
        <w:rPr>
          <w:rFonts w:hint="eastAsia" w:ascii="宋体" w:hAnsi="宋体" w:eastAsia="方正仿宋简体"/>
          <w:sz w:val="32"/>
          <w:szCs w:val="32"/>
        </w:rPr>
        <w:t>巡察工作领导小组决定的有关事项进行督办配合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纪委监委机关、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委组织部及有关部门对巡察工作人员进行培训、考核、监督和管理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/>
          <w:sz w:val="32"/>
          <w:szCs w:val="32"/>
        </w:rPr>
        <w:t>负责与纪检监察机关、政法机关和组织、宣传、审计、信访等部门的沟通衔接工作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/>
          <w:sz w:val="32"/>
          <w:szCs w:val="32"/>
        </w:rPr>
        <w:t>完成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委和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委巡察工作领导小组交办的其他任务。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</w:rPr>
        <w:t>巡察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组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主要职责：贯彻落实巡察工作领导小组的决定和部署，并报告工作情况；根据巡察工作计划依纪依规开展巡察工作；根据县委巡察工作领导小组的决定开展回访督查；对巡察组干部进行日常教育、管理和监督；办理县委巡察工作领导小组及其办公室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jc w:val="left"/>
        <w:textAlignment w:val="auto"/>
        <w:rPr>
          <w:rFonts w:ascii="Times New Roman" w:hAnsi="Times New Roman" w:eastAsia="方正楷体_GBK"/>
          <w:b/>
          <w:bCs/>
          <w:szCs w:val="32"/>
        </w:rPr>
      </w:pPr>
      <w:r>
        <w:rPr>
          <w:rFonts w:ascii="Times New Roman" w:hAnsi="Times New Roman" w:eastAsia="方正楷体_GBK"/>
          <w:b/>
          <w:bCs/>
          <w:szCs w:val="32"/>
        </w:rPr>
        <w:t>（二）</w:t>
      </w:r>
      <w:r>
        <w:rPr>
          <w:rFonts w:hint="eastAsia" w:ascii="Times New Roman" w:hAnsi="Times New Roman" w:eastAsia="方正楷体_GBK"/>
          <w:b/>
          <w:bCs/>
          <w:szCs w:val="32"/>
        </w:rPr>
        <w:t>202</w:t>
      </w:r>
      <w:r>
        <w:rPr>
          <w:rFonts w:hint="eastAsia" w:eastAsia="方正楷体_GBK"/>
          <w:b/>
          <w:bCs/>
          <w:szCs w:val="32"/>
          <w:lang w:val="en-US" w:eastAsia="zh-CN"/>
        </w:rPr>
        <w:t>4</w:t>
      </w:r>
      <w:r>
        <w:rPr>
          <w:rFonts w:ascii="Times New Roman" w:hAnsi="Times New Roman" w:eastAsia="方正楷体_GBK"/>
          <w:b/>
          <w:bCs/>
          <w:szCs w:val="32"/>
        </w:rPr>
        <w:t>年重点工作</w:t>
      </w:r>
    </w:p>
    <w:p>
      <w:pPr>
        <w:pStyle w:val="8"/>
        <w:spacing w:before="0" w:beforeAutospacing="0" w:after="0" w:afterAutospacing="0" w:line="580" w:lineRule="exact"/>
        <w:ind w:firstLine="640" w:firstLineChars="200"/>
        <w:rPr>
          <w:rFonts w:hint="default" w:ascii="宋体" w:hAnsi="宋体" w:eastAsia="方正仿宋_GBK" w:cs="方正仿宋_GBK"/>
          <w:bCs/>
          <w:sz w:val="32"/>
          <w:szCs w:val="32"/>
          <w:lang w:val="en-US" w:eastAsia="zh-CN" w:bidi="bo-CN"/>
        </w:rPr>
      </w:pPr>
      <w:r>
        <w:rPr>
          <w:rFonts w:hint="eastAsia" w:eastAsia="方正仿宋_GBK" w:cs="方正仿宋_GBK"/>
          <w:sz w:val="32"/>
          <w:szCs w:val="32"/>
        </w:rPr>
        <w:t>按照“2+X”的轮次安排，完成对40个左右党组织的常规巡察任务，采取乡镇（街道）村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eastAsia="方正仿宋_GBK" w:cs="方正仿宋_GBK"/>
          <w:sz w:val="32"/>
          <w:szCs w:val="32"/>
        </w:rPr>
        <w:t>（社区）一体巡</w:t>
      </w:r>
      <w:r>
        <w:rPr>
          <w:rFonts w:hint="eastAsia" w:eastAsia="方正仿宋_GBK" w:cs="方正仿宋_GBK"/>
          <w:sz w:val="32"/>
          <w:szCs w:val="32"/>
          <w:lang w:eastAsia="zh-CN"/>
        </w:rPr>
        <w:t>，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同步开展</w:t>
      </w:r>
      <w:bookmarkStart w:id="0" w:name="_GoBack"/>
      <w:bookmarkEnd w:id="0"/>
      <w:r>
        <w:rPr>
          <w:rFonts w:hint="eastAsia" w:eastAsia="方正仿宋_GBK" w:cs="方正仿宋_GBK"/>
          <w:sz w:val="32"/>
          <w:szCs w:val="32"/>
        </w:rPr>
        <w:t>对被巡察乡镇（街道）所辖</w:t>
      </w:r>
      <w:r>
        <w:rPr>
          <w:rFonts w:hint="eastAsia" w:ascii="宋体" w:hAnsi="宋体" w:eastAsia="方正仿宋_GBK" w:cs="方正仿宋_GBK"/>
          <w:sz w:val="32"/>
          <w:szCs w:val="32"/>
        </w:rPr>
        <w:t>Ⅱ、Ⅲ类</w:t>
      </w:r>
      <w:r>
        <w:rPr>
          <w:rFonts w:hint="eastAsia" w:eastAsia="方正仿宋_GBK" w:cs="方正仿宋_GBK"/>
          <w:sz w:val="32"/>
          <w:szCs w:val="32"/>
        </w:rPr>
        <w:t>村（社区）的巡察，采取直接巡村方式对Ⅰ类村（社区）开展巡察；</w:t>
      </w:r>
      <w:r>
        <w:rPr>
          <w:rFonts w:hint="eastAsia" w:eastAsia="方正仿宋_GBK" w:cs="方正仿宋_GBK"/>
          <w:kern w:val="0"/>
          <w:sz w:val="32"/>
          <w:szCs w:val="32"/>
          <w:lang w:bidi="ar"/>
        </w:rPr>
        <w:t>聚焦</w:t>
      </w:r>
      <w:r>
        <w:rPr>
          <w:rFonts w:hint="eastAsia" w:eastAsia="方正仿宋_GBK" w:cs="方正仿宋_GBK"/>
          <w:kern w:val="0"/>
          <w:sz w:val="32"/>
          <w:szCs w:val="32"/>
          <w:lang w:val="zh-CN" w:bidi="ar"/>
        </w:rPr>
        <w:t>党中央大政方针和省委、市委、县委决策部署</w:t>
      </w:r>
      <w:r>
        <w:rPr>
          <w:rFonts w:hint="eastAsia" w:eastAsia="方正仿宋_GBK" w:cs="方正仿宋_GBK"/>
          <w:kern w:val="0"/>
          <w:sz w:val="32"/>
          <w:szCs w:val="32"/>
          <w:lang w:bidi="ar"/>
        </w:rPr>
        <w:t>、阶段性重点工作和日常监督检查发现的突出问题，在年中适时安排重点领域专项巡察、机动巡察</w:t>
      </w:r>
      <w:r>
        <w:rPr>
          <w:rFonts w:hint="eastAsia" w:eastAsia="方正仿宋_GBK" w:cs="方正仿宋_GBK"/>
          <w:sz w:val="32"/>
          <w:szCs w:val="32"/>
        </w:rPr>
        <w:t>或配合上级巡察机构开展一轮提级、交叉联动巡察工作，适时开展巡察“回头看”。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Chars="200"/>
        <w:textAlignment w:val="auto"/>
        <w:rPr>
          <w:rFonts w:hint="eastAsia" w:ascii="Times New Roman" w:hAnsi="Times New Roman" w:eastAsia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bCs/>
          <w:szCs w:val="32"/>
          <w:lang w:val="en-US" w:eastAsia="zh-CN"/>
        </w:rPr>
        <w:t>二、单位基本概况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方正楷体_GBK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color w:val="auto"/>
          <w:sz w:val="32"/>
          <w:szCs w:val="32"/>
          <w:lang w:val="en-US" w:eastAsia="zh-CN"/>
        </w:rPr>
        <w:t>（一）单位机构构成</w:t>
      </w:r>
    </w:p>
    <w:p>
      <w:pPr>
        <w:spacing w:line="578" w:lineRule="exact"/>
        <w:ind w:firstLine="636" w:firstLineChars="19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/>
          <w:sz w:val="32"/>
          <w:szCs w:val="32"/>
        </w:rPr>
        <w:t>中国共产党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安岳县</w:t>
      </w:r>
      <w:r>
        <w:rPr>
          <w:rFonts w:hint="eastAsia" w:ascii="宋体" w:hAnsi="宋体" w:eastAsia="方正仿宋简体"/>
          <w:sz w:val="32"/>
          <w:szCs w:val="32"/>
        </w:rPr>
        <w:t>委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员会</w:t>
      </w:r>
      <w:r>
        <w:rPr>
          <w:rFonts w:hint="eastAsia" w:ascii="宋体" w:hAnsi="宋体" w:eastAsia="方正仿宋简体"/>
          <w:sz w:val="32"/>
          <w:szCs w:val="32"/>
        </w:rPr>
        <w:t>巡察工作领导小组办公室作为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县委</w:t>
      </w:r>
      <w:r>
        <w:rPr>
          <w:rFonts w:hint="eastAsia" w:ascii="宋体" w:hAnsi="宋体" w:eastAsia="方正仿宋简体"/>
          <w:sz w:val="32"/>
          <w:szCs w:val="32"/>
        </w:rPr>
        <w:t>工作部门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含6个县委巡察组）</w:t>
      </w:r>
      <w:r>
        <w:rPr>
          <w:rFonts w:hint="eastAsia" w:ascii="宋体" w:hAnsi="宋体" w:eastAsia="方正仿宋简体"/>
          <w:sz w:val="32"/>
          <w:szCs w:val="32"/>
        </w:rPr>
        <w:t>设在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纪委，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供给关系在县纪委，</w:t>
      </w:r>
      <w:r>
        <w:rPr>
          <w:rFonts w:hint="eastAsia" w:ascii="宋体" w:hAnsi="宋体" w:eastAsia="方正仿宋简体"/>
          <w:sz w:val="32"/>
          <w:szCs w:val="32"/>
        </w:rPr>
        <w:t>巡察工作专项经费作为中共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安岳县</w:t>
      </w:r>
      <w:r>
        <w:rPr>
          <w:rFonts w:hint="eastAsia" w:ascii="宋体" w:hAnsi="宋体" w:eastAsia="方正仿宋简体"/>
          <w:sz w:val="32"/>
          <w:szCs w:val="32"/>
        </w:rPr>
        <w:t>纪委下属二级预算单位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实行</w:t>
      </w:r>
      <w:r>
        <w:rPr>
          <w:rFonts w:hint="eastAsia" w:ascii="宋体" w:hAnsi="宋体" w:eastAsia="方正仿宋简体"/>
          <w:sz w:val="32"/>
          <w:szCs w:val="32"/>
        </w:rPr>
        <w:t>独立核算。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color w:val="auto"/>
          <w:sz w:val="32"/>
          <w:szCs w:val="32"/>
          <w:lang w:val="en-US" w:eastAsia="zh-CN"/>
        </w:rPr>
        <w:t>（二）单位人员构成</w:t>
      </w:r>
    </w:p>
    <w:p>
      <w:pPr>
        <w:pStyle w:val="5"/>
        <w:autoSpaceDE w:val="0"/>
        <w:spacing w:beforeLines="0" w:after="0" w:afterAutospacing="0"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年末总人数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人。其中：在职实有人数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人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其中公务员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Chars="200"/>
        <w:textAlignment w:val="auto"/>
        <w:rPr>
          <w:rFonts w:hint="eastAsia" w:ascii="Times New Roman" w:hAnsi="Times New Roman" w:eastAsia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bCs/>
          <w:szCs w:val="32"/>
          <w:lang w:val="en-US" w:eastAsia="zh-CN"/>
        </w:rPr>
        <w:t>三、收支预算情况说明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/>
          <w:color w:val="FF0000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Cs w:val="32"/>
          <w:lang w:val="en-US" w:eastAsia="zh-CN"/>
        </w:rPr>
        <w:t>按照综合预算的原则，</w:t>
      </w: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所有收入和支出均纳入单位预算管理。收入包括：一般公共预算拨款收入</w:t>
      </w:r>
      <w:r>
        <w:rPr>
          <w:rFonts w:hint="eastAsia" w:eastAsia="方正仿宋_GBK"/>
          <w:szCs w:val="32"/>
          <w:lang w:val="en-US" w:eastAsia="zh-CN"/>
        </w:rPr>
        <w:t>、上年结转；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支出包括：一般公共服务支出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。</w:t>
      </w: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年收支总预算</w:t>
      </w:r>
      <w:r>
        <w:rPr>
          <w:rFonts w:hint="eastAsia" w:eastAsia="方正仿宋_GBK"/>
          <w:color w:val="auto"/>
          <w:szCs w:val="32"/>
          <w:lang w:val="en-US" w:eastAsia="zh-CN"/>
        </w:rPr>
        <w:t>90.04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万元，比202</w:t>
      </w: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年收支预算总数减少</w:t>
      </w:r>
      <w:r>
        <w:rPr>
          <w:rFonts w:hint="eastAsia" w:eastAsia="方正仿宋_GBK"/>
          <w:color w:val="auto"/>
          <w:szCs w:val="32"/>
          <w:lang w:val="en-US" w:eastAsia="zh-CN"/>
        </w:rPr>
        <w:t>4.96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万元，主要原因</w:t>
      </w:r>
      <w:r>
        <w:rPr>
          <w:rFonts w:hint="eastAsia" w:eastAsia="方正仿宋_GBK"/>
          <w:color w:val="auto"/>
          <w:szCs w:val="32"/>
          <w:lang w:val="en-US" w:eastAsia="zh-CN"/>
        </w:rPr>
        <w:t>：一是按照安岳县隐形债务风险化解方案压减财政支出要求，压减2024年项目经费预算5万元；二是政府采购上年结转0.04万元纳入当年收入预算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（一）收入预算情况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ascii="Times New Roman" w:hAnsi="Times New Roman"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auto"/>
          <w:sz w:val="32"/>
          <w:szCs w:val="32"/>
        </w:rPr>
        <w:t>年收入预算</w:t>
      </w:r>
      <w:r>
        <w:rPr>
          <w:rFonts w:hint="eastAsia" w:eastAsia="方正仿宋_GBK"/>
          <w:color w:val="auto"/>
          <w:szCs w:val="32"/>
          <w:lang w:val="en-US" w:eastAsia="zh-CN"/>
        </w:rPr>
        <w:t>90.04</w:t>
      </w:r>
      <w:r>
        <w:rPr>
          <w:rFonts w:ascii="Times New Roman" w:hAnsi="Times New Roman" w:eastAsia="方正仿宋_GBK"/>
          <w:color w:val="auto"/>
          <w:sz w:val="32"/>
          <w:szCs w:val="32"/>
        </w:rPr>
        <w:t>万元，其中：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一般公共预算</w:t>
      </w:r>
      <w:r>
        <w:rPr>
          <w:rFonts w:ascii="Times New Roman" w:hAnsi="Times New Roman" w:eastAsia="方正仿宋_GBK"/>
          <w:color w:val="auto"/>
          <w:sz w:val="32"/>
          <w:szCs w:val="32"/>
        </w:rPr>
        <w:t>拨款收入</w:t>
      </w:r>
      <w:r>
        <w:rPr>
          <w:rFonts w:hint="eastAsia" w:eastAsia="方正仿宋_GBK"/>
          <w:color w:val="auto"/>
          <w:szCs w:val="32"/>
          <w:lang w:val="en-US" w:eastAsia="zh-CN"/>
        </w:rPr>
        <w:t>90.04</w:t>
      </w:r>
      <w:r>
        <w:rPr>
          <w:rFonts w:ascii="Times New Roman" w:hAnsi="Times New Roman" w:eastAsia="方正仿宋_GBK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，占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%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楷体_GBK"/>
          <w:b/>
          <w:color w:val="auto"/>
          <w:sz w:val="32"/>
          <w:szCs w:val="32"/>
        </w:rPr>
        <w:t>（二）支出预算情况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ascii="Times New Roman" w:hAnsi="Times New Roman"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auto"/>
          <w:sz w:val="32"/>
          <w:szCs w:val="32"/>
        </w:rPr>
        <w:t>年支出预算</w:t>
      </w:r>
      <w:r>
        <w:rPr>
          <w:rFonts w:hint="eastAsia" w:eastAsia="方正仿宋_GBK"/>
          <w:color w:val="auto"/>
          <w:szCs w:val="32"/>
          <w:lang w:val="en-US" w:eastAsia="zh-CN"/>
        </w:rPr>
        <w:t>90.04</w:t>
      </w:r>
      <w:r>
        <w:rPr>
          <w:rFonts w:ascii="Times New Roman" w:hAnsi="Times New Roman" w:eastAsia="方正仿宋_GBK"/>
          <w:color w:val="auto"/>
          <w:sz w:val="32"/>
          <w:szCs w:val="32"/>
        </w:rPr>
        <w:t>万元，其中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项目支出</w:t>
      </w:r>
      <w:r>
        <w:rPr>
          <w:rFonts w:hint="eastAsia" w:eastAsia="方正仿宋_GBK"/>
          <w:color w:val="auto"/>
          <w:szCs w:val="32"/>
          <w:lang w:val="en-US" w:eastAsia="zh-CN"/>
        </w:rPr>
        <w:t>90.04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，占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Chars="200"/>
        <w:textAlignment w:val="auto"/>
        <w:rPr>
          <w:rFonts w:hint="eastAsia" w:ascii="Times New Roman" w:hAnsi="Times New Roman" w:eastAsia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bCs/>
          <w:szCs w:val="32"/>
          <w:lang w:val="en-US" w:eastAsia="zh-CN"/>
        </w:rPr>
        <w:t>四、财政拨款收支预算情况说明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/>
          <w:color w:val="FF0000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年财政拨款收支总预算</w:t>
      </w:r>
      <w:r>
        <w:rPr>
          <w:rFonts w:hint="eastAsia" w:eastAsia="方正仿宋_GBK"/>
          <w:color w:val="auto"/>
          <w:szCs w:val="32"/>
          <w:lang w:val="en-US" w:eastAsia="zh-CN"/>
        </w:rPr>
        <w:t>90.04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万元，比202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年财政拨款收支总预算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减少</w:t>
      </w:r>
      <w:r>
        <w:rPr>
          <w:rFonts w:hint="eastAsia" w:eastAsia="方正仿宋_GBK"/>
          <w:color w:val="auto"/>
          <w:szCs w:val="32"/>
          <w:lang w:val="en-US" w:eastAsia="zh-CN"/>
        </w:rPr>
        <w:t>4.96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万元，主要原因</w:t>
      </w:r>
      <w:r>
        <w:rPr>
          <w:rFonts w:hint="eastAsia" w:eastAsia="方正仿宋_GBK"/>
          <w:color w:val="auto"/>
          <w:szCs w:val="32"/>
          <w:lang w:val="en-US" w:eastAsia="zh-CN"/>
        </w:rPr>
        <w:t>：一是按照安岳县隐形债务风险化解方案压减财政支出要求，压减2024年项目经费预算5万元；二是政府采购上年结转0.04万元纳入当年收入预算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收入包括：本年一般公共预算拨款收入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90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上年结转0.04万元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；支出包括：一般公共服务支出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90.04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  <w:t>一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般公共预算当年拨款情况说明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（一）一般公共预算当年拨款规模变化情况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20</w:t>
      </w:r>
      <w:r>
        <w:rPr>
          <w:rFonts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年一般公共预算当年拨款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90.04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万元，比202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年预算数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减少</w:t>
      </w:r>
      <w:r>
        <w:rPr>
          <w:rFonts w:hint="eastAsia" w:eastAsia="方正仿宋_GBK"/>
          <w:color w:val="auto"/>
          <w:szCs w:val="32"/>
          <w:lang w:val="en-US" w:eastAsia="zh-CN"/>
        </w:rPr>
        <w:t>4.96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。主要原因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auto"/>
          <w:szCs w:val="32"/>
          <w:lang w:val="en-US" w:eastAsia="zh-CN"/>
        </w:rPr>
        <w:t>一是按照安岳县隐形债务风险化解方案压减财政支出要求，压减2024年项目经费预算5万元；二是政府采购上年结转0.04万元纳入当年收入预算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方正楷体_GBK"/>
          <w:b/>
          <w:color w:val="auto"/>
          <w:sz w:val="32"/>
          <w:szCs w:val="32"/>
        </w:rPr>
        <w:t>（二）一般公共预算当年拨款结构情况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一般公共服务支出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90.04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万元，占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</w:rPr>
        <w:t>（三）一般公共预算当年拨款具体使用情况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一般公共服务（类）纪检监察事务（款）一般行政管理事务（项）：202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年预算数为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0.04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万元，主要用于202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年开展常规巡察、专项机动巡察、联动交叉巡察和巡察工作人才的示范培训等。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/>
        <w:textAlignment w:val="auto"/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  <w:t>六、一般公共预算基本支出情况说明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委巡察办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无基本支出，人员和公用经费由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纪委保障。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/>
        <w:textAlignment w:val="auto"/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  <w:t>七、“三公”经费财政拨款预算安排情况说明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委巡察办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202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三公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经费财政拨款预算数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万元，其中：因公出国（境）经费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万元，公务接待费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万元，公务用车购置及运行维护费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未安排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三公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经费财政拨款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（一）因公出国（境）经费</w:t>
      </w:r>
      <w:r>
        <w:rPr>
          <w:rFonts w:hint="eastAsia" w:eastAsia="方正楷体_GBK"/>
          <w:b/>
          <w:sz w:val="32"/>
          <w:szCs w:val="32"/>
          <w:lang w:val="en-US" w:eastAsia="zh-CN"/>
        </w:rPr>
        <w:t>与</w:t>
      </w:r>
      <w:r>
        <w:rPr>
          <w:rFonts w:ascii="Times New Roman" w:hAnsi="Times New Roman" w:eastAsia="方正楷体_GBK"/>
          <w:b/>
          <w:sz w:val="32"/>
          <w:szCs w:val="32"/>
        </w:rPr>
        <w:t>20</w:t>
      </w:r>
      <w:r>
        <w:rPr>
          <w:rFonts w:hint="eastAsia" w:ascii="Times New Roman" w:hAnsi="Times New Roman" w:eastAsia="方正楷体_GBK"/>
          <w:b/>
          <w:sz w:val="32"/>
          <w:szCs w:val="32"/>
        </w:rPr>
        <w:t>2</w:t>
      </w:r>
      <w:r>
        <w:rPr>
          <w:rFonts w:hint="eastAsia" w:eastAsia="方正楷体_GBK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楷体_GBK"/>
          <w:b/>
          <w:sz w:val="32"/>
          <w:szCs w:val="32"/>
        </w:rPr>
        <w:t>年预算持平。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年未安排因公出国（境）经费。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（二）公务接待费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与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2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年预算持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年未安排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公务接待费，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巡视巡察、考察调研等工作的接待支出以及省、市、其他县（区）巡察机构来安岳考察调研、检查指导、交流学习等接待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费由县纪委保障。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楷体_GBK"/>
          <w:b/>
          <w:color w:val="auto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方正楷体_GBK"/>
          <w:b/>
          <w:color w:val="auto"/>
          <w:sz w:val="32"/>
          <w:szCs w:val="32"/>
          <w:highlight w:val="none"/>
        </w:rPr>
        <w:t>公务用车购置及运行维护费</w:t>
      </w:r>
      <w:r>
        <w:rPr>
          <w:rFonts w:hint="eastAsia" w:eastAsia="方正楷体_GBK"/>
          <w:b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Times New Roman" w:hAnsi="Times New Roman" w:eastAsia="方正楷体_GBK"/>
          <w:b/>
          <w:color w:val="auto"/>
          <w:sz w:val="32"/>
          <w:szCs w:val="32"/>
          <w:highlight w:val="none"/>
        </w:rPr>
        <w:t>202</w:t>
      </w:r>
      <w:r>
        <w:rPr>
          <w:rFonts w:hint="eastAsia" w:eastAsia="方正楷体_GBK"/>
          <w:b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b/>
          <w:color w:val="auto"/>
          <w:sz w:val="32"/>
          <w:szCs w:val="32"/>
          <w:highlight w:val="none"/>
        </w:rPr>
        <w:t>年预算</w:t>
      </w:r>
      <w:r>
        <w:rPr>
          <w:rFonts w:hint="eastAsia" w:eastAsia="方正楷体_GBK"/>
          <w:b/>
          <w:color w:val="auto"/>
          <w:sz w:val="32"/>
          <w:szCs w:val="32"/>
          <w:highlight w:val="none"/>
          <w:lang w:val="en-US" w:eastAsia="zh-CN"/>
        </w:rPr>
        <w:t>持平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单位现有公务用车0辆（由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纪委在执法执勤用车中机动保障巡察工作用车）。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安排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公务用车购置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运行维护费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/>
        <w:textAlignment w:val="auto"/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  <w:t>八、政府性基金预算支出情况说明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委巡察办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20</w:t>
      </w:r>
      <w:r>
        <w:rPr>
          <w:rFonts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年没有使用政府性基金预算拨款安排的支出。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/>
        <w:textAlignment w:val="auto"/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  <w:t>九、国有资本经营预算支出情况说明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委巡察办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20</w:t>
      </w:r>
      <w:r>
        <w:rPr>
          <w:rFonts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年没有使用国有资本经营预算拨款安排的支出。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（一）机关运行经费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委巡察办基本支出在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纪委核算。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（二）政府采购情况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202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委巡察办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没有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安排政府采购预算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（三）国有资产占有使用情况</w:t>
      </w:r>
    </w:p>
    <w:p>
      <w:pPr>
        <w:pStyle w:val="8"/>
        <w:shd w:val="clear" w:color="auto" w:fill="FFFFFF"/>
        <w:spacing w:before="0" w:beforeAutospacing="0" w:after="0" w:afterAutospacing="0" w:line="590" w:lineRule="exact"/>
        <w:ind w:firstLine="640" w:firstLineChars="200"/>
        <w:jc w:val="both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截至202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年底，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委巡察办共有车辆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辆，单位价值万元以上设备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台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单位价值100万元以上大型设备0台（套）。</w:t>
      </w:r>
    </w:p>
    <w:p>
      <w:pPr>
        <w:pStyle w:val="8"/>
        <w:shd w:val="clear" w:color="auto" w:fill="FFFFFF"/>
        <w:spacing w:before="0" w:beforeAutospacing="0" w:after="0" w:afterAutospacing="0" w:line="590" w:lineRule="exact"/>
        <w:ind w:firstLine="640" w:firstLineChars="200"/>
        <w:jc w:val="both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年单位预算安排购置车辆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辆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安排购置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单位价值万元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（四）绩效目标设置情况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/>
          <w:sz w:val="32"/>
          <w:szCs w:val="32"/>
        </w:rPr>
        <w:t>绩效目标是预算编制的前提和基础，按照“费随事定”的原则，20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委巡察办</w:t>
      </w:r>
      <w:r>
        <w:rPr>
          <w:rFonts w:hint="eastAsia" w:ascii="Times New Roman" w:hAnsi="Times New Roman" w:eastAsia="方正仿宋_GBK"/>
          <w:sz w:val="32"/>
          <w:szCs w:val="32"/>
        </w:rPr>
        <w:t>所有项目支出按要求编制了绩效目标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，从项目完成、项目效益、满意度等方面设置了绩效指标，综合反映项目预期完成的数量、成本、时效、质量，预期达到的社会效益、经济效益、生态效益、可持续影响以及服务对象满意度等情况。（绩效目标具体情况详见公开表中的绩效目标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/>
        <w:textAlignment w:val="auto"/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  <w:t>十一、名词解释</w:t>
      </w:r>
    </w:p>
    <w:p>
      <w:pPr>
        <w:pStyle w:val="8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（一）一般公共预算拨款收入：指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级财政当年拨付的资金。</w:t>
      </w:r>
    </w:p>
    <w:p>
      <w:pPr>
        <w:pStyle w:val="8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（二）一般公共服务（类）纪检监察事务（款）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一般行政管理事务（项）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：指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县委巡察机构完成巡察工作任务产生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的支出。</w:t>
      </w:r>
    </w:p>
    <w:p>
      <w:pPr>
        <w:pStyle w:val="6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pStyle w:val="6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年单位预算公开表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cript MT Bold">
    <w:panose1 w:val="03040602040607080904"/>
    <w:charset w:val="00"/>
    <w:family w:val="script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4928C"/>
    <w:multiLevelType w:val="singleLevel"/>
    <w:tmpl w:val="8784928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2728"/>
    <w:rsid w:val="014365C7"/>
    <w:rsid w:val="01442CA0"/>
    <w:rsid w:val="068A3C77"/>
    <w:rsid w:val="06DE751B"/>
    <w:rsid w:val="0EEF1134"/>
    <w:rsid w:val="12E16B0B"/>
    <w:rsid w:val="1B7A22C7"/>
    <w:rsid w:val="1CA4388D"/>
    <w:rsid w:val="20322F5E"/>
    <w:rsid w:val="29C11BB0"/>
    <w:rsid w:val="30E97920"/>
    <w:rsid w:val="461554BD"/>
    <w:rsid w:val="47015331"/>
    <w:rsid w:val="59B86D8A"/>
    <w:rsid w:val="5A5E507E"/>
    <w:rsid w:val="5DF15E65"/>
    <w:rsid w:val="5ED82443"/>
    <w:rsid w:val="60BA2CC9"/>
    <w:rsid w:val="715F2728"/>
    <w:rsid w:val="7E4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408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2457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2457"/>
    <w:pPr>
      <w:spacing w:line="592" w:lineRule="exact"/>
      <w:ind w:firstLine="88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99"/>
    <w:pPr>
      <w:ind w:firstLine="600" w:firstLineChars="200"/>
    </w:pPr>
  </w:style>
  <w:style w:type="paragraph" w:styleId="4">
    <w:name w:val="Normal Indent"/>
    <w:basedOn w:val="1"/>
    <w:qFormat/>
    <w:uiPriority w:val="4080"/>
    <w:pPr>
      <w:ind w:firstLine="420" w:firstLineChars="200"/>
    </w:pPr>
    <w:rPr>
      <w:rFonts w:ascii="仿宋" w:hAnsi="仿宋" w:eastAsia="仿宋" w:cs="仿宋"/>
      <w:sz w:val="24"/>
      <w:szCs w:val="24"/>
    </w:rPr>
  </w:style>
  <w:style w:type="paragraph" w:styleId="5">
    <w:name w:val="Body Text"/>
    <w:basedOn w:val="1"/>
    <w:unhideWhenUsed/>
    <w:qFormat/>
    <w:uiPriority w:val="99"/>
    <w:pPr>
      <w:spacing w:beforeLines="30" w:after="100" w:afterAutospacing="1"/>
    </w:pPr>
    <w:rPr>
      <w:rFonts w:eastAsia="宋体"/>
      <w:kern w:val="0"/>
      <w:sz w:val="24"/>
      <w:szCs w:val="24"/>
    </w:rPr>
  </w:style>
  <w:style w:type="paragraph" w:styleId="6">
    <w:name w:val="Body Text Indent 2"/>
    <w:basedOn w:val="1"/>
    <w:semiHidden/>
    <w:qFormat/>
    <w:uiPriority w:val="0"/>
    <w:pPr>
      <w:ind w:left="37" w:leftChars="-123" w:hanging="440" w:hangingChars="39"/>
    </w:pPr>
    <w:rPr>
      <w:rFonts w:ascii="Script MT Bold" w:hAnsi="Script MT Bold" w:eastAsia="黑体"/>
      <w:sz w:val="112"/>
    </w:rPr>
  </w:style>
  <w:style w:type="paragraph" w:styleId="7">
    <w:name w:val="footer"/>
    <w:basedOn w:val="1"/>
    <w:next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2023-01-30T02:45:00Z</dcterms:created>
  <dc:creator>ayxy</dc:creator>
  <cp:lastModifiedBy>ayxy</cp:lastModifiedBy>
  <dcterms:modified xsi:type="dcterms:W3CDTF">2024-02-05T07:03:14Z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DBE491E9559C4C78A41A34C9C2DD94C3</vt:lpwstr>
  </property>
</Properties>
</file>