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475"/>
      <w:bookmarkStart w:id="1" w:name="_Toc15377425"/>
      <w:bookmarkStart w:id="2" w:name="_Toc15378441"/>
      <w:bookmarkStart w:id="3" w:name="_Toc15396597"/>
      <w:bookmarkStart w:id="4" w:name="_Toc15377193"/>
      <w:bookmarkStart w:id="5"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方正小标宋简体" w:hAnsi="宋体" w:eastAsia="方正小标宋简体"/>
          <w:sz w:val="52"/>
          <w:szCs w:val="52"/>
        </w:rPr>
      </w:pPr>
      <w:r>
        <w:rPr>
          <w:rFonts w:hint="eastAsia" w:ascii="方正小标宋简体" w:hAnsi="方正小标宋简体" w:eastAsia="方正小标宋简体" w:cs="方正小标宋简体"/>
          <w:sz w:val="72"/>
          <w:szCs w:val="72"/>
          <w:lang w:val="en-US" w:eastAsia="zh-CN"/>
        </w:rPr>
        <w:t>中共安岳县纪律检查委员会部门决算</w:t>
      </w:r>
    </w:p>
    <w:p>
      <w:pPr>
        <w:rPr>
          <w:rFonts w:ascii="方正小标宋简体" w:hAnsi="宋体" w:eastAsia="方正小标宋简体"/>
          <w:sz w:val="36"/>
          <w:szCs w:val="36"/>
        </w:rPr>
      </w:pPr>
      <w:r>
        <w:rPr>
          <w:rFonts w:ascii="方正小标宋简体" w:hAnsi="宋体" w:eastAsia="方正小标宋简体"/>
          <w:sz w:val="36"/>
          <w:szCs w:val="36"/>
        </w:rPr>
        <w:br w:type="page"/>
      </w:r>
      <w:r>
        <w:rPr>
          <w:rFonts w:ascii="方正小标宋简体" w:hAnsi="宋体" w:eastAsia="方正小标宋简体"/>
          <w:sz w:val="36"/>
          <w:szCs w:val="36"/>
        </w:rPr>
        <w:br w:type="page"/>
      </w:r>
    </w:p>
    <w:p>
      <w:pPr>
        <w:widowControl/>
        <w:jc w:val="center"/>
        <w:rPr>
          <w:rFonts w:ascii="黑体" w:hAnsi="黑体" w:eastAsia="黑体" w:cstheme="minorBidi"/>
          <w:sz w:val="28"/>
          <w:szCs w:val="2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pStyle w:val="13"/>
        <w:rPr>
          <w:rFonts w:hint="eastAsia" w:cs="Times New Roman"/>
          <w:lang w:val="en-US" w:eastAsia="zh-CN"/>
        </w:rPr>
      </w:pPr>
      <w:r>
        <w:rPr>
          <w:rFonts w:hint="eastAsia" w:cs="Times New Roman"/>
          <w:lang w:val="en-US" w:eastAsia="zh-CN"/>
        </w:rPr>
        <w:t>公开时间：2024年10月18</w:t>
      </w:r>
      <w:bookmarkStart w:id="84" w:name="_GoBack"/>
      <w:bookmarkEnd w:id="84"/>
      <w:r>
        <w:rPr>
          <w:rFonts w:hint="eastAsia" w:cs="Times New Roman"/>
          <w:lang w:val="en-US" w:eastAsia="zh-CN"/>
        </w:rPr>
        <w:t>日</w:t>
      </w:r>
    </w:p>
    <w:p>
      <w:pPr>
        <w:pStyle w:val="16"/>
        <w:tabs>
          <w:tab w:val="right" w:leader="dot" w:pos="8360"/>
          <w:tab w:val="clear" w:pos="8296"/>
        </w:tabs>
      </w:pPr>
    </w:p>
    <w:sdt>
      <w:sdtPr>
        <w:rPr>
          <w:rFonts w:ascii="宋体" w:hAnsi="宋体" w:eastAsia="宋体" w:cs="Times New Roman"/>
          <w:kern w:val="2"/>
          <w:sz w:val="21"/>
          <w:szCs w:val="24"/>
          <w:lang w:val="en-US" w:eastAsia="zh-CN" w:bidi="ar-SA"/>
        </w:rPr>
        <w:id w:val="14745809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pStyle w:val="16"/>
            <w:tabs>
              <w:tab w:val="right" w:leader="dot" w:pos="8360"/>
              <w:tab w:val="clear" w:pos="8296"/>
            </w:tabs>
          </w:pPr>
          <w:bookmarkStart w:id="6" w:name="_Toc15396599"/>
          <w:bookmarkStart w:id="7" w:name="_Toc15377196"/>
        </w:p>
        <w:p>
          <w:pPr>
            <w:pStyle w:val="13"/>
            <w:tabs>
              <w:tab w:val="right" w:leader="dot" w:pos="8360"/>
              <w:tab w:val="clear" w:pos="8296"/>
            </w:tabs>
          </w:pPr>
          <w:r>
            <w:fldChar w:fldCharType="begin"/>
          </w:r>
          <w:r>
            <w:instrText xml:space="preserve">TOC \o "1-2" \h \u </w:instrText>
          </w:r>
          <w:r>
            <w:fldChar w:fldCharType="separate"/>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_Toc24297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第一部分 部门概况</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_Toc24297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1</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6"/>
            <w:tabs>
              <w:tab w:val="right" w:leader="dot" w:pos="8360"/>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_Toc31299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一、</w:t>
          </w:r>
          <w:r>
            <w:rPr>
              <w:rFonts w:hint="eastAsia" w:asciiTheme="minorHAnsi" w:hAnsiTheme="minorHAnsi" w:eastAsiaTheme="minorEastAsia" w:cstheme="minorBidi"/>
              <w:sz w:val="30"/>
              <w:szCs w:val="30"/>
              <w:lang w:val="zh-CN" w:eastAsia="zh-CN"/>
            </w:rPr>
            <w:t>部门职责</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_Toc31299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6"/>
            <w:tabs>
              <w:tab w:val="right" w:leader="dot" w:pos="8360"/>
              <w:tab w:val="clear" w:pos="8296"/>
            </w:tabs>
          </w:pPr>
          <w:r>
            <w:fldChar w:fldCharType="begin"/>
          </w:r>
          <w:r>
            <w:instrText xml:space="preserve"> HYPERLINK \l _Toc32650 </w:instrText>
          </w:r>
          <w:r>
            <w:fldChar w:fldCharType="separate"/>
          </w:r>
          <w:r>
            <w:rPr>
              <w:rFonts w:hint="eastAsia" w:asciiTheme="minorHAnsi" w:hAnsiTheme="minorHAnsi" w:eastAsiaTheme="minorEastAsia" w:cstheme="minorBidi"/>
              <w:sz w:val="30"/>
              <w:szCs w:val="30"/>
              <w:lang w:val="en-US" w:eastAsia="zh-CN"/>
            </w:rPr>
            <w:t>二、机构设置</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_Toc32650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w:t>
          </w:r>
          <w:r>
            <w:rPr>
              <w:rFonts w:hint="eastAsia" w:asciiTheme="minorHAnsi" w:hAnsiTheme="minorHAnsi" w:eastAsiaTheme="minorEastAsia" w:cstheme="minorBidi"/>
              <w:sz w:val="30"/>
              <w:szCs w:val="30"/>
              <w:lang w:val="zh-CN" w:eastAsia="zh-CN"/>
            </w:rPr>
            <w:fldChar w:fldCharType="end"/>
          </w:r>
          <w:r>
            <w:fldChar w:fldCharType="end"/>
          </w:r>
        </w:p>
        <w:p>
          <w:pPr>
            <w:pStyle w:val="13"/>
            <w:tabs>
              <w:tab w:val="right" w:leader="dot" w:pos="8360"/>
              <w:tab w:val="clear" w:pos="8296"/>
            </w:tabs>
          </w:pP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_Toc743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第二部分 2023年度部门决算情况说明</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_Toc743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2</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6"/>
            <w:tabs>
              <w:tab w:val="right" w:leader="dot" w:pos="8360"/>
              <w:tab w:val="clear" w:pos="8296"/>
            </w:tabs>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_Toc13224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一、收入支出决算总体情况说明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_Toc13224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2</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_Toc21385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二、收入决算情况说明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_Toc21385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2</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_Toc30055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三、支出决算情况说明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_Toc30055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3</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_Toc893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四、财政拨款收入支出决算总体情况说明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_Toc893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3</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_Toc21916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五、一般公共预算财政拨款支出决算情况说明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_Toc21916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4</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_Toc9159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六、一般公共预算财政拨款基本支出决算情况说明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_Toc9159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7</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_Toc32415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七、财政拨款“三公”经费支出决算情况说明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_Toc32415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8</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_Toc9534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八、政府性基金预算支出决算情况说明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_Toc9534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10</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_Toc13915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九、国有资本经营预算支出决算情况说明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_Toc13915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10</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_Toc13512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十、其他重要事项的情况说明</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_Toc13512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10</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3"/>
            <w:tabs>
              <w:tab w:val="right" w:leader="dot" w:pos="8360"/>
              <w:tab w:val="clear" w:pos="8296"/>
            </w:tabs>
          </w:pP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_Toc8733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第三部分 名词解释</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_Toc8733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12</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3"/>
            <w:tabs>
              <w:tab w:val="right" w:leader="dot" w:pos="8360"/>
              <w:tab w:val="clear" w:pos="8296"/>
            </w:tabs>
          </w:pPr>
          <w:r>
            <w:fldChar w:fldCharType="begin"/>
          </w:r>
          <w:r>
            <w:instrText xml:space="preserve"> HYPERLINK \l _Toc26235 </w:instrText>
          </w:r>
          <w:r>
            <w:fldChar w:fldCharType="separate"/>
          </w:r>
          <w:r>
            <w:rPr>
              <w:rFonts w:hint="eastAsia" w:ascii="黑体" w:hAnsi="黑体" w:eastAsia="黑体" w:cstheme="minorBidi"/>
              <w:b/>
              <w:sz w:val="30"/>
              <w:szCs w:val="30"/>
            </w:rPr>
            <w:t>第四部分 附件</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_Toc26235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15</w:t>
          </w:r>
          <w:r>
            <w:rPr>
              <w:rFonts w:hint="eastAsia" w:ascii="黑体" w:hAnsi="黑体" w:eastAsia="黑体" w:cstheme="minorBidi"/>
              <w:b/>
              <w:sz w:val="30"/>
              <w:szCs w:val="30"/>
            </w:rPr>
            <w:fldChar w:fldCharType="end"/>
          </w:r>
          <w: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_Toc25019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附件1</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_Toc25019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15</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_Toc3741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附件2</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_Toc3741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38</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_Toc1283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附件3</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_Toc1283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51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_Toc24542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附件4</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_Toc24542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65</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_Toc13717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附件5</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_Toc13717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77</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_Toc24650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附件6</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_Toc24650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84</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3"/>
            <w:tabs>
              <w:tab w:val="right" w:leader="dot" w:pos="8360"/>
              <w:tab w:val="clear" w:pos="8296"/>
            </w:tabs>
          </w:pP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_Toc145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第五部分 附表</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_Toc145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91</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_Toc4790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一、收入支出决算总表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_Toc4790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_Toc18120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二、收入决算表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_Toc18120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_Toc24767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三、支出决算表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_Toc24767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_Toc20296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四、财政拨款收入支出决算总表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_Toc20296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_Toc29072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五、财政拨款支出决算明细表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_Toc29072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_Toc6016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六、一般公共预算财政拨款支出决算表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_Toc6016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_Toc15370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七、一般公共预算财政拨款支出决算明细表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_Toc15370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_Toc5455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八、一般公共预算财政拨款基本支出决算表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_Toc5455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_Toc22279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九、一般公共预算财政拨款项目支出决算表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_Toc22279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_Toc696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十、政府性基金预算财政拨款收入支出决算表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_Toc696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_Toc24778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十一、国有资本经营预算财政拨款收入支出决算表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_Toc24778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rPr>
              <w:rFonts w:hint="eastAsia" w:asciiTheme="minorHAnsi" w:hAnsiTheme="minorHAnsi" w:eastAsiaTheme="minorEastAsia" w:cstheme="minorBidi"/>
              <w:sz w:val="30"/>
              <w:szCs w:val="30"/>
              <w:lang w:val="en-US" w:eastAsia="zh-CN"/>
            </w:rPr>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_Toc18453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十二、国有资本经营预算财政拨款支出决算表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_Toc18453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pPr>
            <w:pStyle w:val="16"/>
            <w:tabs>
              <w:tab w:val="right" w:leader="dot" w:pos="8360"/>
              <w:tab w:val="clear" w:pos="8296"/>
            </w:tabs>
          </w:pP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HYPERLINK \l _Toc24285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十三、财政拨款“三公”经费支出决算表</w:t>
          </w:r>
          <w:r>
            <w:rPr>
              <w:rFonts w:hint="eastAsia" w:asciiTheme="minorHAnsi" w:hAnsiTheme="minorHAnsi" w:eastAsiaTheme="minorEastAsia" w:cstheme="minorBidi"/>
              <w:sz w:val="30"/>
              <w:szCs w:val="30"/>
              <w:lang w:val="en-US" w:eastAsia="zh-CN"/>
            </w:rPr>
            <w:tab/>
          </w:r>
          <w:r>
            <w:rPr>
              <w:rFonts w:hint="eastAsia" w:asciiTheme="minorHAnsi" w:hAnsiTheme="minorHAnsi" w:eastAsiaTheme="minorEastAsia" w:cstheme="minorBidi"/>
              <w:sz w:val="30"/>
              <w:szCs w:val="30"/>
              <w:lang w:val="en-US" w:eastAsia="zh-CN"/>
            </w:rPr>
            <w:fldChar w:fldCharType="begin"/>
          </w:r>
          <w:r>
            <w:rPr>
              <w:rFonts w:hint="eastAsia" w:asciiTheme="minorHAnsi" w:hAnsiTheme="minorHAnsi" w:eastAsiaTheme="minorEastAsia" w:cstheme="minorBidi"/>
              <w:sz w:val="30"/>
              <w:szCs w:val="30"/>
              <w:lang w:val="en-US" w:eastAsia="zh-CN"/>
            </w:rPr>
            <w:instrText xml:space="preserve"> PAGEREF _Toc24285 \h </w:instrText>
          </w:r>
          <w:r>
            <w:rPr>
              <w:rFonts w:hint="eastAsia" w:asciiTheme="minorHAnsi" w:hAnsiTheme="minorHAnsi" w:eastAsiaTheme="minorEastAsia" w:cstheme="minorBidi"/>
              <w:sz w:val="30"/>
              <w:szCs w:val="30"/>
              <w:lang w:val="en-US" w:eastAsia="zh-CN"/>
            </w:rPr>
            <w:fldChar w:fldCharType="separate"/>
          </w:r>
          <w:r>
            <w:rPr>
              <w:rFonts w:hint="eastAsia" w:asciiTheme="minorHAnsi" w:hAnsiTheme="minorHAnsi" w:eastAsiaTheme="minorEastAsia" w:cstheme="minorBidi"/>
              <w:sz w:val="30"/>
              <w:szCs w:val="30"/>
              <w:lang w:val="en-US" w:eastAsia="zh-CN"/>
            </w:rPr>
            <w:t>91</w:t>
          </w:r>
          <w:r>
            <w:rPr>
              <w:rFonts w:hint="eastAsia" w:asciiTheme="minorHAnsi" w:hAnsiTheme="minorHAnsi" w:eastAsiaTheme="minorEastAsia" w:cstheme="minorBidi"/>
              <w:sz w:val="30"/>
              <w:szCs w:val="30"/>
              <w:lang w:val="en-US" w:eastAsia="zh-CN"/>
            </w:rPr>
            <w:fldChar w:fldCharType="end"/>
          </w:r>
          <w:r>
            <w:rPr>
              <w:rFonts w:hint="eastAsia" w:asciiTheme="minorHAnsi" w:hAnsiTheme="minorHAnsi" w:eastAsiaTheme="minorEastAsia" w:cstheme="minorBidi"/>
              <w:sz w:val="30"/>
              <w:szCs w:val="30"/>
              <w:lang w:val="en-US" w:eastAsia="zh-CN"/>
            </w:rPr>
            <w:fldChar w:fldCharType="end"/>
          </w:r>
        </w:p>
        <w:p>
          <w:r>
            <w:fldChar w:fldCharType="end"/>
          </w:r>
        </w:p>
      </w:sdtContent>
    </w:sdt>
    <w:p>
      <w:pPr>
        <w:pStyle w:val="16"/>
        <w:tabs>
          <w:tab w:val="right" w:leader="dot" w:pos="8360"/>
          <w:tab w:val="clear" w:pos="8296"/>
        </w:tabs>
        <w:rPr>
          <w:rFonts w:ascii="仿宋" w:hAnsi="仿宋" w:eastAsia="仿宋"/>
          <w:bCs/>
          <w:kern w:val="44"/>
          <w:sz w:val="24"/>
        </w:rPr>
      </w:pPr>
      <w:r>
        <w:rPr>
          <w:rFonts w:ascii="仿宋" w:hAnsi="仿宋" w:eastAsia="仿宋"/>
          <w:b/>
          <w:sz w:val="24"/>
        </w:rPr>
        <w:br w:type="page"/>
      </w:r>
    </w:p>
    <w:p>
      <w:pPr>
        <w:pStyle w:val="3"/>
        <w:jc w:val="center"/>
        <w:outlineLvl w:val="9"/>
        <w:rPr>
          <w:rFonts w:hint="eastAsia" w:ascii="黑体" w:hAnsi="黑体" w:eastAsia="黑体"/>
          <w:b w:val="0"/>
        </w:rPr>
        <w:sectPr>
          <w:headerReference r:id="rId3" w:type="default"/>
          <w:pgSz w:w="11906" w:h="16838"/>
          <w:pgMar w:top="1440" w:right="1800" w:bottom="1440" w:left="1746" w:header="851" w:footer="992" w:gutter="0"/>
          <w:pgNumType w:fmt="decimal" w:start="1"/>
          <w:cols w:space="425" w:num="1"/>
          <w:titlePg/>
          <w:docGrid w:type="lines" w:linePitch="312" w:charSpace="0"/>
        </w:sectPr>
      </w:pPr>
    </w:p>
    <w:p>
      <w:pPr>
        <w:pStyle w:val="3"/>
        <w:bidi w:val="0"/>
        <w:rPr>
          <w:rFonts w:hint="eastAsia"/>
        </w:rPr>
      </w:pPr>
      <w:bookmarkStart w:id="8" w:name="_Toc24297"/>
      <w:r>
        <w:rPr>
          <w:rFonts w:hint="eastAsia"/>
        </w:rPr>
        <w:t>第一部分 部门概况</w:t>
      </w:r>
      <w:bookmarkEnd w:id="6"/>
      <w:bookmarkEnd w:id="7"/>
      <w:bookmarkEnd w:id="8"/>
    </w:p>
    <w:p/>
    <w:p>
      <w:pPr>
        <w:pStyle w:val="4"/>
        <w:bidi w:val="0"/>
        <w:rPr>
          <w:rFonts w:hint="eastAsia"/>
        </w:rPr>
      </w:pPr>
      <w:bookmarkStart w:id="9" w:name="_Toc31299"/>
      <w:r>
        <w:rPr>
          <w:rFonts w:hint="eastAsia"/>
          <w:lang w:val="en-US" w:eastAsia="zh-CN"/>
        </w:rPr>
        <w:t>一、</w:t>
      </w:r>
      <w:r>
        <w:rPr>
          <w:rFonts w:hint="eastAsia"/>
        </w:rPr>
        <w:t>部门职责</w:t>
      </w:r>
      <w:bookmarkEnd w:id="9"/>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中国共产党安岳县纪律检查委员会（简称县纪委），</w:t>
      </w:r>
      <w:r>
        <w:rPr>
          <w:rFonts w:hint="eastAsia" w:ascii="宋体" w:hAnsi="宋体" w:eastAsia="方正仿宋_GBK" w:cs="方正仿宋_GBK"/>
          <w:sz w:val="32"/>
          <w:szCs w:val="32"/>
          <w:lang w:val="en-US" w:eastAsia="zh-CN"/>
        </w:rPr>
        <w:t>负责党的纪律检查工作；依照党的章程和其他党内法规履行监督、执纪、问责职责；负责全县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在中央纪委国家监委、省纪委监委、市纪委监委的领导下，加强对反腐败国际追逃追赃和防逃工作的组织协调，督促有关单位做好相关工作；根据干部管理权限，负责纪检监察系统领导班子建设、干部队伍建设和组织建设的综合规划、政策研究、制度建设和业务指导。</w:t>
      </w:r>
      <w:bookmarkStart w:id="10" w:name="_Toc15377200"/>
      <w:bookmarkStart w:id="11" w:name="_Toc15396601"/>
    </w:p>
    <w:p>
      <w:pPr>
        <w:pStyle w:val="4"/>
        <w:bidi w:val="0"/>
        <w:rPr>
          <w:rFonts w:hint="eastAsia"/>
          <w:lang w:val="en-US" w:eastAsia="zh-CN"/>
        </w:rPr>
      </w:pPr>
      <w:bookmarkStart w:id="12" w:name="_Toc32650"/>
      <w:r>
        <w:rPr>
          <w:rFonts w:hint="eastAsia"/>
          <w:lang w:val="en-US" w:eastAsia="zh-CN"/>
        </w:rPr>
        <w:t>二、机构设置</w:t>
      </w:r>
      <w:bookmarkEnd w:id="10"/>
      <w:bookmarkEnd w:id="11"/>
      <w:bookmarkEnd w:id="12"/>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中国共产党安岳县纪律检查委员会下属二级预算单位2个，其中行政单位2个，参照公务员法管理的事业单位0个，其他事业单位0个。</w:t>
      </w:r>
    </w:p>
    <w:p>
      <w:pPr>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纳入中国共产党安岳县纪律检查委员会2023年度部门决算编制范围的二级预算单位包括：</w:t>
      </w:r>
    </w:p>
    <w:p>
      <w:pPr>
        <w:spacing w:line="580" w:lineRule="exact"/>
        <w:ind w:firstLine="640" w:firstLineChars="200"/>
        <w:jc w:val="both"/>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zh-CN" w:eastAsia="zh-CN"/>
        </w:rPr>
        <w:t>1.</w:t>
      </w:r>
      <w:r>
        <w:rPr>
          <w:rFonts w:hint="eastAsia" w:ascii="宋体" w:hAnsi="宋体" w:eastAsia="方正仿宋_GBK" w:cs="方正仿宋_GBK"/>
          <w:sz w:val="32"/>
          <w:szCs w:val="32"/>
          <w:lang w:val="en-US" w:eastAsia="zh-CN"/>
        </w:rPr>
        <w:t>中国共产党安岳县纪律检查委员会（本级）</w:t>
      </w:r>
    </w:p>
    <w:p>
      <w:pPr>
        <w:widowControl/>
        <w:ind w:firstLine="640" w:firstLineChars="200"/>
        <w:jc w:val="left"/>
        <w:rPr>
          <w:rFonts w:ascii="仿宋" w:hAnsi="仿宋" w:eastAsia="仿宋"/>
          <w:kern w:val="0"/>
          <w:sz w:val="32"/>
          <w:szCs w:val="32"/>
        </w:rPr>
      </w:pPr>
      <w:r>
        <w:rPr>
          <w:rFonts w:hint="eastAsia" w:ascii="宋体" w:hAnsi="宋体" w:eastAsia="方正仿宋_GBK" w:cs="方正仿宋_GBK"/>
          <w:sz w:val="32"/>
          <w:szCs w:val="32"/>
          <w:lang w:val="zh-CN" w:eastAsia="zh-CN"/>
        </w:rPr>
        <w:t>2.</w:t>
      </w:r>
      <w:r>
        <w:rPr>
          <w:rFonts w:hint="eastAsia" w:ascii="宋体" w:hAnsi="宋体" w:eastAsia="方正仿宋_GBK" w:cs="方正仿宋_GBK"/>
          <w:sz w:val="32"/>
          <w:szCs w:val="32"/>
          <w:lang w:val="en-US" w:eastAsia="zh-CN"/>
        </w:rPr>
        <w:t>中国共产党安岳县委员会巡察工作领导小组办公室</w:t>
      </w:r>
      <w:r>
        <w:rPr>
          <w:rFonts w:ascii="仿宋" w:hAnsi="仿宋" w:eastAsia="仿宋"/>
          <w:sz w:val="32"/>
          <w:szCs w:val="32"/>
        </w:rPr>
        <w:br w:type="page"/>
      </w:r>
    </w:p>
    <w:p>
      <w:pPr>
        <w:pStyle w:val="3"/>
        <w:bidi w:val="0"/>
        <w:rPr>
          <w:rFonts w:hint="eastAsia"/>
        </w:rPr>
      </w:pPr>
      <w:bookmarkStart w:id="13" w:name="_Toc743"/>
      <w:bookmarkStart w:id="14" w:name="_Toc15396602"/>
      <w:bookmarkStart w:id="15" w:name="_Toc15377204"/>
      <w:r>
        <w:rPr>
          <w:rFonts w:hint="eastAsia"/>
        </w:rPr>
        <w:t>第二部分 2023年度部门决算情况说明</w:t>
      </w:r>
      <w:bookmarkEnd w:id="13"/>
      <w:bookmarkEnd w:id="14"/>
      <w:bookmarkEnd w:id="15"/>
    </w:p>
    <w:p/>
    <w:p>
      <w:pPr>
        <w:pStyle w:val="4"/>
        <w:bidi w:val="0"/>
      </w:pPr>
      <w:bookmarkStart w:id="16" w:name="_Toc13224"/>
      <w:bookmarkStart w:id="17" w:name="_Toc15396603"/>
      <w:bookmarkStart w:id="18" w:name="_Toc15377205"/>
      <w:r>
        <w:rPr>
          <w:rFonts w:hint="eastAsia"/>
          <w:lang w:val="en-US" w:eastAsia="zh-CN"/>
        </w:rPr>
        <w:t>一、</w:t>
      </w:r>
      <w:r>
        <w:rPr>
          <w:rFonts w:hint="eastAsia"/>
        </w:rPr>
        <w:t>收入支出决算总体情况说明</w:t>
      </w:r>
      <w:bookmarkEnd w:id="16"/>
      <w:bookmarkEnd w:id="17"/>
      <w:bookmarkEnd w:id="18"/>
    </w:p>
    <w:p>
      <w:pPr>
        <w:spacing w:line="600" w:lineRule="exact"/>
        <w:ind w:firstLine="640" w:firstLineChars="200"/>
      </w:pPr>
      <w:r>
        <w:rPr>
          <w:rFonts w:hint="eastAsia" w:ascii="仿宋" w:hAnsi="仿宋" w:eastAsia="仿宋"/>
          <w:sz w:val="32"/>
          <w:szCs w:val="32"/>
        </w:rPr>
        <w:t>2023年度收、支总计均为</w:t>
      </w:r>
      <w:r>
        <w:rPr>
          <w:rFonts w:hint="eastAsia"/>
          <w:sz w:val="32"/>
          <w:szCs w:val="32"/>
        </w:rPr>
        <w:t>3199.29</w:t>
      </w:r>
      <w:r>
        <w:rPr>
          <w:rFonts w:hint="eastAsia" w:ascii="仿宋" w:hAnsi="仿宋" w:eastAsia="仿宋"/>
          <w:sz w:val="32"/>
          <w:szCs w:val="32"/>
        </w:rPr>
        <w:t>万元</w:t>
      </w:r>
      <w:r>
        <w:rPr>
          <w:rFonts w:hint="eastAsia"/>
          <w:sz w:val="32"/>
          <w:szCs w:val="32"/>
        </w:rPr>
        <w:t>。</w:t>
      </w:r>
      <w:r>
        <w:rPr>
          <w:rFonts w:hint="eastAsia" w:ascii="仿宋" w:hAnsi="仿宋" w:eastAsia="仿宋"/>
          <w:sz w:val="32"/>
          <w:szCs w:val="32"/>
        </w:rPr>
        <w:t>与2022年度</w:t>
      </w:r>
      <w:r>
        <w:rPr>
          <w:rFonts w:hint="eastAsia" w:ascii="仿宋" w:hAnsi="仿宋" w:eastAsia="仿宋"/>
          <w:sz w:val="32"/>
          <w:szCs w:val="32"/>
          <w:lang w:val="en-US" w:eastAsia="zh-CN"/>
        </w:rPr>
        <w:t>3266.43万元</w:t>
      </w:r>
      <w:r>
        <w:rPr>
          <w:rFonts w:hint="eastAsia" w:ascii="仿宋" w:hAnsi="仿宋" w:eastAsia="仿宋"/>
          <w:sz w:val="32"/>
          <w:szCs w:val="32"/>
        </w:rPr>
        <w:t>相比，收、支总计各减少</w:t>
      </w:r>
      <w:r>
        <w:rPr>
          <w:rFonts w:hint="eastAsia" w:ascii="仿宋" w:hAnsi="仿宋" w:eastAsia="仿宋"/>
          <w:sz w:val="32"/>
          <w:szCs w:val="32"/>
          <w:lang w:val="en-US" w:eastAsia="zh-CN"/>
        </w:rPr>
        <w:t>67.14</w:t>
      </w:r>
      <w:r>
        <w:rPr>
          <w:rFonts w:hint="eastAsia" w:ascii="仿宋" w:hAnsi="仿宋" w:eastAsia="仿宋"/>
          <w:sz w:val="32"/>
          <w:szCs w:val="32"/>
        </w:rPr>
        <w:t>万元，下降</w:t>
      </w:r>
      <w:r>
        <w:rPr>
          <w:rFonts w:hint="eastAsia" w:ascii="仿宋" w:hAnsi="仿宋" w:eastAsia="仿宋"/>
          <w:sz w:val="32"/>
          <w:szCs w:val="32"/>
          <w:lang w:val="en-US" w:eastAsia="zh-CN"/>
        </w:rPr>
        <w:t>2.06</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rPr>
        <w:t>是</w:t>
      </w:r>
      <w:r>
        <w:rPr>
          <w:rFonts w:hint="eastAsia" w:ascii="仿宋" w:hAnsi="仿宋" w:eastAsia="仿宋"/>
          <w:sz w:val="32"/>
          <w:szCs w:val="32"/>
          <w:lang w:val="en-US" w:eastAsia="zh-CN"/>
        </w:rPr>
        <w:t>2023年度减少中央纪检监察转移支付资金和乡镇谈话室建设资金两个项目；二是县财政压减了专项经费</w:t>
      </w:r>
      <w:r>
        <w:rPr>
          <w:rFonts w:hint="eastAsia" w:ascii="仿宋" w:hAnsi="仿宋" w:eastAsia="仿宋"/>
          <w:sz w:val="32"/>
          <w:szCs w:val="32"/>
        </w:rPr>
        <w:t>。</w:t>
      </w:r>
    </w:p>
    <w:p>
      <w:pPr>
        <w:spacing w:line="600" w:lineRule="exact"/>
        <w:jc w:val="center"/>
        <w:rPr>
          <w:rFonts w:ascii="仿宋_GB2312" w:eastAsia="仿宋_GB2312"/>
          <w:sz w:val="32"/>
          <w:szCs w:val="32"/>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527685</wp:posOffset>
            </wp:positionH>
            <wp:positionV relativeFrom="page">
              <wp:posOffset>4049395</wp:posOffset>
            </wp:positionV>
            <wp:extent cx="4319905" cy="2339975"/>
            <wp:effectExtent l="4445" t="4445" r="6350" b="50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bidi w:val="0"/>
      </w:pPr>
      <w:bookmarkStart w:id="19" w:name="_Toc15396604"/>
      <w:bookmarkStart w:id="20" w:name="_Toc21385"/>
      <w:bookmarkStart w:id="21" w:name="_Toc15377206"/>
      <w:r>
        <w:rPr>
          <w:rFonts w:hint="eastAsia"/>
          <w:lang w:val="en-US" w:eastAsia="zh-CN"/>
        </w:rPr>
        <w:t>二、</w:t>
      </w:r>
      <w:r>
        <w:rPr>
          <w:rFonts w:hint="eastAsia"/>
        </w:rPr>
        <w:t>收入决算情况说明</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pPr>
      <w:r>
        <w:rPr>
          <w:rFonts w:hint="eastAsia" w:ascii="仿宋" w:hAnsi="仿宋" w:eastAsia="仿宋"/>
          <w:sz w:val="32"/>
          <w:szCs w:val="32"/>
        </w:rPr>
        <w:t>2023年度本年收入合计</w:t>
      </w:r>
      <w:r>
        <w:rPr>
          <w:sz w:val="32"/>
          <w:szCs w:val="32"/>
        </w:rPr>
        <w:t>3180.1</w:t>
      </w:r>
      <w:r>
        <w:rPr>
          <w:rFonts w:hint="eastAsia" w:ascii="仿宋" w:hAnsi="仿宋" w:eastAsia="仿宋"/>
          <w:sz w:val="32"/>
          <w:szCs w:val="32"/>
        </w:rPr>
        <w:t>万元，其中：一般公共预算财政拨款收入</w:t>
      </w:r>
      <w:r>
        <w:rPr>
          <w:sz w:val="32"/>
          <w:szCs w:val="32"/>
        </w:rPr>
        <w:t>3149.43</w:t>
      </w:r>
      <w:r>
        <w:rPr>
          <w:rFonts w:hint="eastAsia" w:ascii="仿宋" w:hAnsi="仿宋" w:eastAsia="仿宋"/>
          <w:sz w:val="32"/>
          <w:szCs w:val="32"/>
        </w:rPr>
        <w:t>万元，占</w:t>
      </w:r>
      <w:r>
        <w:rPr>
          <w:sz w:val="32"/>
          <w:szCs w:val="32"/>
        </w:rPr>
        <w:t>99.03</w:t>
      </w:r>
      <w:r>
        <w:rPr>
          <w:rFonts w:ascii="仿宋" w:hAnsi="仿宋" w:eastAsia="仿宋"/>
          <w:sz w:val="32"/>
          <w:szCs w:val="32"/>
        </w:rPr>
        <w:t>%</w:t>
      </w:r>
      <w:r>
        <w:rPr>
          <w:rFonts w:hint="eastAsia" w:ascii="仿宋" w:hAnsi="仿宋" w:eastAsia="仿宋"/>
          <w:sz w:val="32"/>
          <w:szCs w:val="32"/>
        </w:rPr>
        <w:t>；政府性基金预算财政拨款收入</w:t>
      </w:r>
      <w:r>
        <w:rPr>
          <w:sz w:val="32"/>
          <w:szCs w:val="32"/>
        </w:rPr>
        <w:t>28.1</w:t>
      </w:r>
      <w:r>
        <w:rPr>
          <w:rFonts w:hint="eastAsia"/>
          <w:sz w:val="32"/>
          <w:szCs w:val="32"/>
          <w:lang w:val="en-US" w:eastAsia="zh-CN"/>
        </w:rPr>
        <w:t>7</w:t>
      </w:r>
      <w:r>
        <w:rPr>
          <w:rFonts w:hint="eastAsia" w:ascii="仿宋" w:hAnsi="仿宋" w:eastAsia="仿宋"/>
          <w:sz w:val="32"/>
          <w:szCs w:val="32"/>
        </w:rPr>
        <w:t>万元，占</w:t>
      </w:r>
      <w:r>
        <w:rPr>
          <w:sz w:val="32"/>
          <w:szCs w:val="32"/>
        </w:rPr>
        <w:t>0.8</w:t>
      </w:r>
      <w:r>
        <w:rPr>
          <w:rFonts w:hint="eastAsia"/>
          <w:sz w:val="32"/>
          <w:szCs w:val="32"/>
          <w:lang w:val="en-US" w:eastAsia="zh-CN"/>
        </w:rPr>
        <w:t>9</w:t>
      </w:r>
      <w:r>
        <w:rPr>
          <w:rFonts w:ascii="仿宋" w:hAnsi="仿宋" w:eastAsia="仿宋"/>
          <w:sz w:val="32"/>
          <w:szCs w:val="32"/>
        </w:rPr>
        <w:t>%</w:t>
      </w:r>
      <w:r>
        <w:rPr>
          <w:rFonts w:hint="eastAsia" w:ascii="仿宋" w:hAnsi="仿宋" w:eastAsia="仿宋"/>
          <w:sz w:val="32"/>
          <w:szCs w:val="32"/>
        </w:rPr>
        <w:t>；其他收入</w:t>
      </w:r>
      <w:r>
        <w:rPr>
          <w:sz w:val="32"/>
          <w:szCs w:val="32"/>
        </w:rPr>
        <w:t>2.5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sz w:val="32"/>
          <w:szCs w:val="32"/>
        </w:rPr>
        <w:t>0.0</w:t>
      </w:r>
      <w:r>
        <w:rPr>
          <w:rFonts w:hint="eastAsia"/>
          <w:sz w:val="32"/>
          <w:szCs w:val="32"/>
          <w:lang w:val="en-US" w:eastAsia="zh-CN"/>
        </w:rPr>
        <w:t>8</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ascii="仿宋_GB2312" w:eastAsia="仿宋_GB2312"/>
          <w:sz w:val="32"/>
          <w:szCs w:val="32"/>
        </w:rPr>
      </w:pPr>
      <w:r>
        <w:rPr>
          <w:rFonts w:hint="eastAsia" w:ascii="仿宋" w:hAnsi="仿宋" w:eastAsia="仿宋" w:cs="Times New Roman"/>
          <w:sz w:val="32"/>
          <w:szCs w:val="32"/>
          <w:highlight w:val="none"/>
          <w:lang w:eastAsia="zh-CN"/>
        </w:rPr>
        <w:drawing>
          <wp:anchor distT="0" distB="0" distL="114300" distR="114300" simplePos="0" relativeHeight="251660288" behindDoc="0" locked="0" layoutInCell="1" allowOverlap="1">
            <wp:simplePos x="0" y="0"/>
            <wp:positionH relativeFrom="column">
              <wp:posOffset>474980</wp:posOffset>
            </wp:positionH>
            <wp:positionV relativeFrom="page">
              <wp:posOffset>1069975</wp:posOffset>
            </wp:positionV>
            <wp:extent cx="4319905" cy="2339975"/>
            <wp:effectExtent l="4445" t="4445" r="6350" b="50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（图2：收入决算结构图）</w:t>
      </w:r>
    </w:p>
    <w:p>
      <w:pPr>
        <w:pStyle w:val="4"/>
        <w:bidi w:val="0"/>
      </w:pPr>
      <w:bookmarkStart w:id="22" w:name="_Toc15396605"/>
      <w:bookmarkStart w:id="23" w:name="_Toc30055"/>
      <w:bookmarkStart w:id="24" w:name="_Toc15377207"/>
      <w:r>
        <w:rPr>
          <w:rFonts w:hint="eastAsia"/>
          <w:lang w:val="en-US" w:eastAsia="zh-CN"/>
        </w:rPr>
        <w:t>三、</w:t>
      </w:r>
      <w:r>
        <w:rPr>
          <w:rFonts w:hint="eastAsia"/>
        </w:rPr>
        <w:t>支出决算情况说明</w:t>
      </w:r>
      <w:bookmarkEnd w:id="22"/>
      <w:bookmarkEnd w:id="23"/>
      <w:bookmarkEnd w:id="2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shd w:val="pct10" w:color="auto" w:fill="FFFFFF"/>
        </w:rPr>
      </w:pPr>
      <w:r>
        <w:rPr>
          <w:rFonts w:hint="eastAsia" w:ascii="仿宋" w:hAnsi="仿宋" w:eastAsia="仿宋"/>
          <w:sz w:val="32"/>
          <w:szCs w:val="32"/>
        </w:rPr>
        <w:t>2023年度本年支出合计</w:t>
      </w:r>
      <w:r>
        <w:rPr>
          <w:sz w:val="32"/>
          <w:szCs w:val="32"/>
        </w:rPr>
        <w:t>3179.6</w:t>
      </w:r>
      <w:r>
        <w:rPr>
          <w:rFonts w:hint="eastAsia" w:ascii="仿宋" w:hAnsi="仿宋" w:eastAsia="仿宋"/>
          <w:sz w:val="32"/>
          <w:szCs w:val="32"/>
        </w:rPr>
        <w:t>万元，其中：基本支出</w:t>
      </w:r>
      <w:r>
        <w:rPr>
          <w:sz w:val="32"/>
          <w:szCs w:val="32"/>
        </w:rPr>
        <w:t>2755.68</w:t>
      </w:r>
      <w:r>
        <w:rPr>
          <w:rFonts w:hint="eastAsia" w:ascii="仿宋" w:hAnsi="仿宋" w:eastAsia="仿宋"/>
          <w:sz w:val="32"/>
          <w:szCs w:val="32"/>
        </w:rPr>
        <w:t>万元，占</w:t>
      </w:r>
      <w:r>
        <w:rPr>
          <w:sz w:val="32"/>
          <w:szCs w:val="32"/>
        </w:rPr>
        <w:t>86.6</w:t>
      </w:r>
      <w:r>
        <w:rPr>
          <w:rFonts w:hint="eastAsia"/>
          <w:sz w:val="32"/>
          <w:szCs w:val="32"/>
          <w:lang w:val="en-US" w:eastAsia="zh-CN"/>
        </w:rPr>
        <w:t>7</w:t>
      </w:r>
      <w:r>
        <w:rPr>
          <w:rFonts w:ascii="仿宋" w:hAnsi="仿宋" w:eastAsia="仿宋"/>
          <w:sz w:val="32"/>
          <w:szCs w:val="32"/>
        </w:rPr>
        <w:t>%</w:t>
      </w:r>
      <w:r>
        <w:rPr>
          <w:rFonts w:hint="eastAsia" w:ascii="仿宋" w:hAnsi="仿宋" w:eastAsia="仿宋"/>
          <w:sz w:val="32"/>
          <w:szCs w:val="32"/>
        </w:rPr>
        <w:t>；项目支出</w:t>
      </w:r>
      <w:r>
        <w:rPr>
          <w:sz w:val="32"/>
          <w:szCs w:val="32"/>
        </w:rPr>
        <w:t>423.92</w:t>
      </w:r>
      <w:r>
        <w:rPr>
          <w:rFonts w:hint="eastAsia" w:ascii="仿宋" w:hAnsi="仿宋" w:eastAsia="仿宋"/>
          <w:sz w:val="32"/>
          <w:szCs w:val="32"/>
        </w:rPr>
        <w:t>万元，占</w:t>
      </w:r>
      <w:r>
        <w:rPr>
          <w:sz w:val="32"/>
          <w:szCs w:val="32"/>
        </w:rPr>
        <w:t>13.33</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ascii="仿宋_GB2312" w:eastAsia="仿宋_GB2312"/>
          <w:sz w:val="32"/>
          <w:szCs w:val="32"/>
        </w:rPr>
      </w:pPr>
      <w:r>
        <w:rPr>
          <w:rFonts w:hint="eastAsia"/>
          <w:lang w:eastAsia="zh-CN"/>
        </w:rPr>
        <w:drawing>
          <wp:anchor distT="0" distB="0" distL="114300" distR="114300" simplePos="0" relativeHeight="251661312" behindDoc="0" locked="0" layoutInCell="1" allowOverlap="1">
            <wp:simplePos x="0" y="0"/>
            <wp:positionH relativeFrom="column">
              <wp:posOffset>485140</wp:posOffset>
            </wp:positionH>
            <wp:positionV relativeFrom="page">
              <wp:posOffset>5093970</wp:posOffset>
            </wp:positionV>
            <wp:extent cx="4319905" cy="2339975"/>
            <wp:effectExtent l="4445" t="4445" r="6350" b="508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（图3：支出决算结构图）</w:t>
      </w:r>
    </w:p>
    <w:p>
      <w:pPr>
        <w:pStyle w:val="4"/>
        <w:bidi w:val="0"/>
      </w:pPr>
      <w:bookmarkStart w:id="25" w:name="_Toc893"/>
      <w:bookmarkStart w:id="26" w:name="_Toc15396606"/>
      <w:bookmarkStart w:id="27" w:name="_Toc15377208"/>
      <w:r>
        <w:rPr>
          <w:rFonts w:hint="eastAsia"/>
        </w:rPr>
        <w:t>四、财政拨款收入支出决算总体情况说明</w:t>
      </w:r>
      <w:bookmarkEnd w:id="25"/>
      <w:bookmarkEnd w:id="26"/>
      <w:bookmarkEnd w:id="27"/>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sz w:val="32"/>
          <w:szCs w:val="32"/>
        </w:rPr>
        <w:t>3177.6</w:t>
      </w:r>
      <w:r>
        <w:rPr>
          <w:rFonts w:hint="eastAsia" w:ascii="仿宋" w:hAnsi="仿宋" w:eastAsia="仿宋"/>
          <w:sz w:val="32"/>
          <w:szCs w:val="32"/>
        </w:rPr>
        <w:t>万元。与2022年度</w:t>
      </w:r>
      <w:r>
        <w:rPr>
          <w:rFonts w:hint="eastAsia" w:ascii="仿宋" w:hAnsi="仿宋" w:eastAsia="仿宋"/>
          <w:sz w:val="32"/>
          <w:szCs w:val="32"/>
          <w:lang w:val="en-US" w:eastAsia="zh-CN"/>
        </w:rPr>
        <w:t>3266.43万元</w:t>
      </w:r>
      <w:r>
        <w:rPr>
          <w:rFonts w:hint="eastAsia" w:ascii="仿宋" w:hAnsi="仿宋" w:eastAsia="仿宋"/>
          <w:sz w:val="32"/>
          <w:szCs w:val="32"/>
        </w:rPr>
        <w:t>相比，财政拨款收、支总计各减少</w:t>
      </w:r>
      <w:r>
        <w:rPr>
          <w:rFonts w:hint="eastAsia" w:ascii="仿宋" w:hAnsi="仿宋" w:eastAsia="仿宋"/>
          <w:sz w:val="32"/>
          <w:szCs w:val="32"/>
          <w:lang w:val="en-US" w:eastAsia="zh-CN"/>
        </w:rPr>
        <w:t>88.83</w:t>
      </w:r>
      <w:r>
        <w:rPr>
          <w:rFonts w:hint="eastAsia" w:ascii="仿宋" w:hAnsi="仿宋" w:eastAsia="仿宋"/>
          <w:sz w:val="32"/>
          <w:szCs w:val="32"/>
        </w:rPr>
        <w:t>万元，下降</w:t>
      </w:r>
      <w:r>
        <w:rPr>
          <w:rFonts w:hint="eastAsia" w:ascii="仿宋" w:hAnsi="仿宋" w:eastAsia="仿宋"/>
          <w:sz w:val="32"/>
          <w:szCs w:val="32"/>
          <w:lang w:val="en-US" w:eastAsia="zh-CN"/>
        </w:rPr>
        <w:t>2.72</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rPr>
        <w:t>是</w:t>
      </w:r>
      <w:r>
        <w:rPr>
          <w:rFonts w:hint="eastAsia" w:ascii="仿宋" w:hAnsi="仿宋" w:eastAsia="仿宋"/>
          <w:sz w:val="32"/>
          <w:szCs w:val="32"/>
          <w:lang w:val="en-US" w:eastAsia="zh-CN"/>
        </w:rPr>
        <w:t>2023年度减少中央纪检监察转移支付资金和乡镇谈话室建设资金两个项目；二是县财政压减了专项经费</w:t>
      </w:r>
      <w:r>
        <w:rPr>
          <w:rFonts w:hint="eastAsia" w:ascii="仿宋" w:hAnsi="仿宋" w:eastAsia="仿宋"/>
          <w:sz w:val="32"/>
          <w:szCs w:val="32"/>
        </w:rPr>
        <w:t>。</w:t>
      </w:r>
    </w:p>
    <w:p>
      <w:pPr>
        <w:spacing w:line="600" w:lineRule="exact"/>
        <w:jc w:val="center"/>
        <w:rPr>
          <w:rFonts w:ascii="仿宋" w:hAnsi="仿宋" w:eastAsia="仿宋"/>
          <w:b/>
          <w:sz w:val="32"/>
          <w:szCs w:val="32"/>
        </w:rPr>
      </w:pPr>
      <w:r>
        <w:rPr>
          <w:rFonts w:hint="eastAsia" w:eastAsia="仿宋"/>
          <w:lang w:eastAsia="zh-CN"/>
        </w:rPr>
        <w:drawing>
          <wp:anchor distT="0" distB="0" distL="114300" distR="114300" simplePos="0" relativeHeight="251662336" behindDoc="0" locked="0" layoutInCell="1" allowOverlap="1">
            <wp:simplePos x="0" y="0"/>
            <wp:positionH relativeFrom="column">
              <wp:posOffset>476250</wp:posOffset>
            </wp:positionH>
            <wp:positionV relativeFrom="page">
              <wp:posOffset>1423035</wp:posOffset>
            </wp:positionV>
            <wp:extent cx="4319905" cy="2339975"/>
            <wp:effectExtent l="4445" t="4445" r="6350" b="508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（图4：财政拨款收、支决算总计变动情况）</w:t>
      </w:r>
    </w:p>
    <w:p>
      <w:pPr>
        <w:pStyle w:val="4"/>
        <w:bidi w:val="0"/>
        <w:rPr>
          <w:rFonts w:hint="eastAsia"/>
        </w:rPr>
      </w:pPr>
      <w:bookmarkStart w:id="28" w:name="_Toc15396607"/>
      <w:bookmarkStart w:id="29" w:name="_Toc15377209"/>
      <w:bookmarkStart w:id="30" w:name="_Toc21916"/>
      <w:r>
        <w:rPr>
          <w:rFonts w:hint="eastAsia"/>
        </w:rPr>
        <w:t>五、一般公共预算财政拨款支出决算情况说明</w:t>
      </w:r>
      <w:bookmarkEnd w:id="28"/>
      <w:bookmarkEnd w:id="29"/>
      <w:bookmarkEnd w:id="30"/>
      <w:bookmarkStart w:id="31" w:name="_Toc15377210"/>
    </w:p>
    <w:p>
      <w:pPr>
        <w:spacing w:line="600" w:lineRule="exact"/>
        <w:ind w:firstLine="643" w:firstLineChars="200"/>
        <w:outlineLvl w:val="2"/>
        <w:rPr>
          <w:rFonts w:hint="eastAsia" w:ascii="仿宋" w:hAnsi="仿宋" w:eastAsia="仿宋"/>
          <w:b/>
          <w:sz w:val="32"/>
          <w:szCs w:val="32"/>
        </w:rPr>
      </w:pPr>
      <w:r>
        <w:rPr>
          <w:rFonts w:hint="eastAsia" w:ascii="仿宋" w:hAnsi="仿宋" w:eastAsia="仿宋"/>
          <w:b/>
          <w:sz w:val="32"/>
          <w:szCs w:val="32"/>
        </w:rPr>
        <w:t>（一）一般公共预算财政拨款支出决算总体情况</w:t>
      </w:r>
      <w:bookmarkEnd w:id="31"/>
    </w:p>
    <w:p>
      <w:pPr>
        <w:spacing w:line="600" w:lineRule="exact"/>
        <w:ind w:firstLine="420" w:firstLineChars="200"/>
        <w:rPr>
          <w:rFonts w:hint="eastAsia" w:ascii="仿宋" w:hAnsi="仿宋" w:eastAsia="仿宋"/>
          <w:sz w:val="32"/>
          <w:szCs w:val="32"/>
          <w:lang w:val="en-US" w:eastAsia="zh-CN"/>
        </w:rPr>
      </w:pPr>
      <w:r>
        <w:rPr>
          <w:rFonts w:hint="eastAsia" w:eastAsia="仿宋"/>
          <w:lang w:eastAsia="zh-CN"/>
        </w:rPr>
        <w:drawing>
          <wp:anchor distT="0" distB="0" distL="114300" distR="114300" simplePos="0" relativeHeight="251663360" behindDoc="0" locked="0" layoutInCell="1" allowOverlap="1">
            <wp:simplePos x="0" y="0"/>
            <wp:positionH relativeFrom="column">
              <wp:posOffset>546735</wp:posOffset>
            </wp:positionH>
            <wp:positionV relativeFrom="page">
              <wp:posOffset>7205345</wp:posOffset>
            </wp:positionV>
            <wp:extent cx="4319905" cy="2339975"/>
            <wp:effectExtent l="4445" t="4445" r="6350" b="508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2023年度一般公共预算财政</w:t>
      </w:r>
      <w:r>
        <w:rPr>
          <w:rFonts w:hint="eastAsia" w:ascii="仿宋" w:hAnsi="仿宋" w:eastAsia="仿宋" w:cs="Times New Roman"/>
          <w:sz w:val="32"/>
          <w:szCs w:val="32"/>
        </w:rPr>
        <w:t>拨款支出3149.43万元，占本年支出合计的99.05%。与2022年度</w:t>
      </w:r>
      <w:r>
        <w:rPr>
          <w:rFonts w:hint="eastAsia" w:ascii="仿宋" w:hAnsi="仿宋" w:eastAsia="仿宋" w:cs="Times New Roman"/>
          <w:sz w:val="32"/>
          <w:szCs w:val="32"/>
          <w:lang w:val="en-US" w:eastAsia="zh-CN"/>
        </w:rPr>
        <w:t>2937.58万元</w:t>
      </w:r>
      <w:r>
        <w:rPr>
          <w:rFonts w:hint="eastAsia" w:ascii="仿宋" w:hAnsi="仿宋" w:eastAsia="仿宋" w:cs="Times New Roman"/>
          <w:sz w:val="32"/>
          <w:szCs w:val="32"/>
        </w:rPr>
        <w:t>相</w:t>
      </w:r>
      <w:r>
        <w:rPr>
          <w:rFonts w:hint="eastAsia" w:ascii="仿宋" w:hAnsi="仿宋" w:eastAsia="仿宋"/>
          <w:sz w:val="32"/>
          <w:szCs w:val="32"/>
        </w:rPr>
        <w:t>比，一般公共预算财政拨款支出增加</w:t>
      </w:r>
      <w:r>
        <w:rPr>
          <w:rFonts w:hint="eastAsia" w:ascii="仿宋" w:hAnsi="仿宋" w:eastAsia="仿宋"/>
          <w:sz w:val="32"/>
          <w:szCs w:val="32"/>
          <w:lang w:val="en-US" w:eastAsia="zh-CN"/>
        </w:rPr>
        <w:t>211.85</w:t>
      </w:r>
      <w:r>
        <w:rPr>
          <w:rFonts w:hint="eastAsia" w:ascii="仿宋" w:hAnsi="仿宋" w:eastAsia="仿宋"/>
          <w:sz w:val="32"/>
          <w:szCs w:val="32"/>
        </w:rPr>
        <w:t>万元，增长</w:t>
      </w:r>
      <w:r>
        <w:rPr>
          <w:rFonts w:hint="eastAsia" w:ascii="仿宋" w:hAnsi="仿宋" w:eastAsia="仿宋"/>
          <w:sz w:val="32"/>
          <w:szCs w:val="32"/>
          <w:lang w:val="en-US" w:eastAsia="zh-CN"/>
        </w:rPr>
        <w:t>7.2</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val="en-US" w:eastAsia="zh-CN"/>
        </w:rPr>
        <w:t>部分项目经费2022年是用政府性基金预算财政拨款资金安排的，2023年大部分是一般公共预算财政拨款资金安排的。</w:t>
      </w:r>
    </w:p>
    <w:p>
      <w:pPr>
        <w:pStyle w:val="6"/>
        <w:rPr>
          <w:rFonts w:hint="default"/>
          <w:lang w:val="en-US" w:eastAsia="zh-CN"/>
        </w:rPr>
      </w:pP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32" w:name="_Toc15377211"/>
      <w:r>
        <w:rPr>
          <w:rFonts w:hint="eastAsia" w:ascii="仿宋" w:hAnsi="仿宋" w:eastAsia="仿宋"/>
          <w:b/>
          <w:sz w:val="32"/>
          <w:szCs w:val="32"/>
        </w:rPr>
        <w:t>（二）一般公共预算财政拨款支出决算结构情况</w:t>
      </w:r>
      <w:bookmarkEnd w:id="32"/>
    </w:p>
    <w:p>
      <w:pPr>
        <w:spacing w:line="600" w:lineRule="exact"/>
        <w:ind w:firstLine="640"/>
      </w:pPr>
      <w:r>
        <w:rPr>
          <w:rFonts w:hint="eastAsia" w:ascii="仿宋" w:hAnsi="仿宋" w:eastAsia="仿宋"/>
          <w:sz w:val="32"/>
          <w:szCs w:val="32"/>
        </w:rPr>
        <w:t>2023年度一般公共预算财政拨款支出3149.43万元，主要用于以下方面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2568.46</w:t>
      </w:r>
      <w:r>
        <w:rPr>
          <w:rFonts w:hint="eastAsia" w:ascii="仿宋" w:hAnsi="仿宋" w:eastAsia="仿宋"/>
          <w:sz w:val="32"/>
          <w:szCs w:val="32"/>
        </w:rPr>
        <w:t>万元，占</w:t>
      </w:r>
      <w:r>
        <w:rPr>
          <w:rFonts w:hint="eastAsia" w:ascii="仿宋" w:hAnsi="仿宋" w:eastAsia="仿宋"/>
          <w:sz w:val="32"/>
          <w:szCs w:val="32"/>
          <w:lang w:val="en-US" w:eastAsia="zh-CN"/>
        </w:rPr>
        <w:t>81.55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286.56</w:t>
      </w:r>
      <w:r>
        <w:rPr>
          <w:rFonts w:hint="eastAsia" w:ascii="仿宋" w:hAnsi="仿宋" w:eastAsia="仿宋"/>
          <w:sz w:val="32"/>
          <w:szCs w:val="32"/>
        </w:rPr>
        <w:t>万元，占</w:t>
      </w:r>
      <w:r>
        <w:rPr>
          <w:rFonts w:hint="eastAsia" w:ascii="仿宋" w:hAnsi="仿宋" w:eastAsia="仿宋"/>
          <w:sz w:val="32"/>
          <w:szCs w:val="32"/>
          <w:lang w:val="en-US" w:eastAsia="zh-CN"/>
        </w:rPr>
        <w:t>9.1%</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91.86</w:t>
      </w:r>
      <w:r>
        <w:rPr>
          <w:rFonts w:hint="eastAsia" w:ascii="仿宋" w:hAnsi="仿宋" w:eastAsia="仿宋"/>
          <w:sz w:val="32"/>
          <w:szCs w:val="32"/>
        </w:rPr>
        <w:t>万元，占</w:t>
      </w:r>
      <w:r>
        <w:rPr>
          <w:rFonts w:hint="eastAsia" w:ascii="仿宋" w:hAnsi="仿宋" w:eastAsia="仿宋"/>
          <w:sz w:val="32"/>
          <w:szCs w:val="32"/>
          <w:lang w:val="en-US" w:eastAsia="zh-CN"/>
        </w:rPr>
        <w:t>2.92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农林水支出6.64万元，</w:t>
      </w:r>
      <w:r>
        <w:rPr>
          <w:rFonts w:hint="eastAsia" w:ascii="仿宋" w:hAnsi="仿宋" w:eastAsia="仿宋"/>
          <w:sz w:val="32"/>
          <w:szCs w:val="32"/>
        </w:rPr>
        <w:t>占</w:t>
      </w:r>
      <w:r>
        <w:rPr>
          <w:rFonts w:hint="eastAsia" w:ascii="仿宋" w:hAnsi="仿宋" w:eastAsia="仿宋"/>
          <w:sz w:val="32"/>
          <w:szCs w:val="32"/>
          <w:lang w:val="en-US" w:eastAsia="zh-CN"/>
        </w:rPr>
        <w:t>0.21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195.91</w:t>
      </w:r>
      <w:r>
        <w:rPr>
          <w:rFonts w:hint="eastAsia" w:ascii="仿宋" w:hAnsi="仿宋" w:eastAsia="仿宋"/>
          <w:sz w:val="32"/>
          <w:szCs w:val="32"/>
        </w:rPr>
        <w:t>万元，占</w:t>
      </w:r>
      <w:r>
        <w:rPr>
          <w:rFonts w:hint="eastAsia" w:ascii="仿宋" w:hAnsi="仿宋" w:eastAsia="仿宋"/>
          <w:sz w:val="32"/>
          <w:szCs w:val="32"/>
          <w:lang w:val="en-US" w:eastAsia="zh-CN"/>
        </w:rPr>
        <w:t>6.22</w:t>
      </w:r>
      <w:r>
        <w:rPr>
          <w:rFonts w:ascii="仿宋" w:hAnsi="仿宋" w:eastAsia="仿宋"/>
          <w:sz w:val="32"/>
          <w:szCs w:val="32"/>
        </w:rPr>
        <w:t>%</w:t>
      </w:r>
      <w:r>
        <w:rPr>
          <w:rFonts w:hint="eastAsia" w:ascii="仿宋" w:hAnsi="仿宋" w:eastAsia="仿宋"/>
          <w:sz w:val="32"/>
          <w:szCs w:val="32"/>
        </w:rPr>
        <w:t>。</w:t>
      </w:r>
    </w:p>
    <w:p>
      <w:pPr>
        <w:spacing w:line="600" w:lineRule="exact"/>
        <w:jc w:val="center"/>
        <w:rPr>
          <w:rFonts w:ascii="仿宋" w:hAnsi="仿宋" w:eastAsia="仿宋"/>
          <w:sz w:val="32"/>
          <w:szCs w:val="32"/>
        </w:rPr>
      </w:pPr>
      <w:r>
        <w:rPr>
          <w:rFonts w:hint="eastAsia"/>
          <w:lang w:eastAsia="zh-CN"/>
        </w:rPr>
        <w:drawing>
          <wp:anchor distT="0" distB="0" distL="114300" distR="114300" simplePos="0" relativeHeight="251665408" behindDoc="0" locked="0" layoutInCell="1" allowOverlap="1">
            <wp:simplePos x="0" y="0"/>
            <wp:positionH relativeFrom="column">
              <wp:posOffset>502285</wp:posOffset>
            </wp:positionH>
            <wp:positionV relativeFrom="page">
              <wp:posOffset>4011295</wp:posOffset>
            </wp:positionV>
            <wp:extent cx="4319905" cy="2339975"/>
            <wp:effectExtent l="4445" t="4445" r="6350" b="508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3" w:name="_Toc15377212"/>
      <w:r>
        <w:rPr>
          <w:rFonts w:hint="eastAsia" w:ascii="仿宋" w:hAnsi="仿宋" w:eastAsia="仿宋"/>
          <w:b/>
          <w:sz w:val="32"/>
          <w:szCs w:val="32"/>
        </w:rPr>
        <w:t>（三）一般公共预算财政拨款支出决算具体情况</w:t>
      </w:r>
      <w:bookmarkEnd w:id="33"/>
    </w:p>
    <w:p>
      <w:pPr>
        <w:spacing w:line="600" w:lineRule="exact"/>
        <w:ind w:firstLine="643" w:firstLineChars="200"/>
        <w:outlineLvl w:val="2"/>
        <w:rPr>
          <w:rFonts w:ascii="仿宋" w:hAnsi="仿宋" w:eastAsia="仿宋"/>
          <w:sz w:val="32"/>
          <w:szCs w:val="32"/>
        </w:rPr>
      </w:pPr>
      <w:bookmarkStart w:id="34" w:name="_Toc15377444"/>
      <w:bookmarkStart w:id="35" w:name="_Toc15378460"/>
      <w:bookmarkStart w:id="36" w:name="_Toc15377213"/>
      <w:r>
        <w:rPr>
          <w:rFonts w:hint="eastAsia" w:ascii="仿宋" w:hAnsi="仿宋" w:eastAsia="仿宋"/>
          <w:b/>
          <w:sz w:val="32"/>
          <w:szCs w:val="32"/>
        </w:rPr>
        <w:t>2023年度一般公共预算支出决算数为</w:t>
      </w:r>
      <w:r>
        <w:rPr>
          <w:sz w:val="32"/>
          <w:szCs w:val="32"/>
        </w:rPr>
        <w:t>3149.43</w:t>
      </w:r>
      <w:r>
        <w:rPr>
          <w:rFonts w:hint="eastAsia" w:ascii="仿宋" w:hAnsi="仿宋" w:eastAsia="仿宋"/>
          <w:sz w:val="32"/>
          <w:szCs w:val="32"/>
        </w:rPr>
        <w:t>，</w:t>
      </w:r>
      <w:r>
        <w:rPr>
          <w:rStyle w:val="20"/>
          <w:rFonts w:hint="eastAsia" w:ascii="仿宋" w:hAnsi="仿宋" w:eastAsia="仿宋"/>
          <w:bCs/>
          <w:sz w:val="32"/>
          <w:szCs w:val="32"/>
        </w:rPr>
        <w:t>完成预算</w:t>
      </w:r>
      <w:r>
        <w:rPr>
          <w:rStyle w:val="20"/>
          <w:rFonts w:hint="eastAsia" w:ascii="仿宋" w:hAnsi="仿宋" w:eastAsia="仿宋"/>
          <w:bCs/>
          <w:sz w:val="32"/>
          <w:szCs w:val="32"/>
          <w:lang w:val="en-US" w:eastAsia="zh-CN"/>
        </w:rPr>
        <w:t>100</w:t>
      </w:r>
      <w:r>
        <w:rPr>
          <w:rStyle w:val="20"/>
          <w:rFonts w:ascii="仿宋" w:hAnsi="仿宋" w:eastAsia="仿宋"/>
          <w:bCs/>
          <w:sz w:val="32"/>
          <w:szCs w:val="32"/>
        </w:rPr>
        <w:t>%</w:t>
      </w:r>
      <w:r>
        <w:rPr>
          <w:rStyle w:val="20"/>
          <w:rFonts w:hint="eastAsia" w:ascii="仿宋" w:hAnsi="仿宋" w:eastAsia="仿宋"/>
          <w:bCs/>
          <w:sz w:val="32"/>
          <w:szCs w:val="32"/>
        </w:rPr>
        <w:t>。其中：</w:t>
      </w:r>
      <w:bookmarkEnd w:id="34"/>
      <w:bookmarkEnd w:id="35"/>
      <w:bookmarkEnd w:id="36"/>
    </w:p>
    <w:p>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hint="eastAsia" w:ascii="仿宋" w:hAnsi="仿宋" w:eastAsia="仿宋"/>
          <w:bCs/>
          <w:sz w:val="32"/>
          <w:szCs w:val="32"/>
          <w:lang w:val="en-US" w:eastAsia="zh-CN"/>
        </w:rPr>
        <w:t>1.</w:t>
      </w:r>
      <w:r>
        <w:rPr>
          <w:rStyle w:val="20"/>
          <w:rFonts w:hint="eastAsia" w:ascii="仿宋" w:hAnsi="仿宋" w:eastAsia="仿宋"/>
          <w:bCs/>
          <w:sz w:val="32"/>
          <w:szCs w:val="32"/>
        </w:rPr>
        <w:t>一般公共服务（类）</w:t>
      </w:r>
      <w:r>
        <w:rPr>
          <w:rStyle w:val="20"/>
          <w:rFonts w:hint="eastAsia" w:ascii="仿宋" w:hAnsi="仿宋" w:eastAsia="仿宋"/>
          <w:bCs/>
          <w:sz w:val="32"/>
          <w:szCs w:val="32"/>
          <w:lang w:val="en-US" w:eastAsia="zh-CN"/>
        </w:rPr>
        <w:t>政府办公厅（室）相关事务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行政运行</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0.34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numPr>
          <w:ilvl w:val="0"/>
          <w:numId w:val="0"/>
        </w:numPr>
        <w:spacing w:line="600" w:lineRule="exact"/>
        <w:ind w:firstLine="643" w:firstLineChars="200"/>
        <w:rPr>
          <w:rStyle w:val="20"/>
          <w:rFonts w:hint="eastAsia" w:ascii="仿宋" w:hAnsi="仿宋" w:eastAsia="仿宋"/>
          <w:b w:val="0"/>
          <w:bCs/>
          <w:sz w:val="32"/>
          <w:szCs w:val="32"/>
        </w:rPr>
      </w:pPr>
      <w:r>
        <w:rPr>
          <w:rStyle w:val="20"/>
          <w:rFonts w:ascii="仿宋" w:hAnsi="仿宋" w:eastAsia="仿宋"/>
          <w:bCs/>
          <w:sz w:val="32"/>
          <w:szCs w:val="32"/>
        </w:rPr>
        <w:t>2.</w:t>
      </w:r>
      <w:r>
        <w:rPr>
          <w:rStyle w:val="20"/>
          <w:rFonts w:hint="eastAsia" w:ascii="仿宋" w:hAnsi="仿宋" w:eastAsia="仿宋"/>
          <w:bCs/>
          <w:sz w:val="32"/>
          <w:szCs w:val="32"/>
        </w:rPr>
        <w:t>一般公共服务（类）</w:t>
      </w:r>
      <w:r>
        <w:rPr>
          <w:rStyle w:val="20"/>
          <w:rFonts w:hint="eastAsia" w:ascii="仿宋" w:hAnsi="仿宋" w:eastAsia="仿宋"/>
          <w:bCs/>
          <w:sz w:val="32"/>
          <w:szCs w:val="32"/>
          <w:lang w:val="en-US" w:eastAsia="zh-CN"/>
        </w:rPr>
        <w:t>纪检监察事务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行政运行</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2100.07</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pStyle w:val="6"/>
        <w:rPr>
          <w:rFonts w:hint="default" w:eastAsia="仿宋"/>
          <w:lang w:val="en-US" w:eastAsia="zh-CN"/>
        </w:rPr>
      </w:pPr>
      <w:r>
        <w:rPr>
          <w:rStyle w:val="20"/>
          <w:rFonts w:hint="eastAsia" w:ascii="仿宋" w:hAnsi="仿宋" w:eastAsia="仿宋"/>
          <w:b w:val="0"/>
          <w:bCs/>
          <w:sz w:val="32"/>
          <w:szCs w:val="32"/>
          <w:lang w:val="en-US" w:eastAsia="zh-CN"/>
        </w:rPr>
        <w:t xml:space="preserve">    </w:t>
      </w:r>
      <w:r>
        <w:rPr>
          <w:rStyle w:val="20"/>
          <w:rFonts w:ascii="仿宋" w:hAnsi="仿宋" w:eastAsia="仿宋"/>
          <w:bCs/>
          <w:sz w:val="32"/>
          <w:szCs w:val="32"/>
        </w:rPr>
        <w:t>3.</w:t>
      </w:r>
      <w:r>
        <w:rPr>
          <w:rStyle w:val="20"/>
          <w:rFonts w:hint="eastAsia" w:ascii="仿宋" w:hAnsi="仿宋" w:eastAsia="仿宋"/>
          <w:bCs/>
          <w:sz w:val="32"/>
          <w:szCs w:val="32"/>
        </w:rPr>
        <w:t>一般公共服务（类）</w:t>
      </w:r>
      <w:r>
        <w:rPr>
          <w:rStyle w:val="20"/>
          <w:rFonts w:hint="eastAsia" w:ascii="仿宋" w:hAnsi="仿宋" w:eastAsia="仿宋"/>
          <w:bCs/>
          <w:sz w:val="32"/>
          <w:szCs w:val="32"/>
          <w:lang w:val="en-US" w:eastAsia="zh-CN"/>
        </w:rPr>
        <w:t>纪检监察事务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一般行政管理事务</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389.11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pStyle w:val="6"/>
        <w:rPr>
          <w:rFonts w:hint="default"/>
          <w:lang w:val="en-US" w:eastAsia="zh-CN"/>
        </w:rPr>
      </w:pPr>
      <w:r>
        <w:rPr>
          <w:rFonts w:hint="eastAsia"/>
          <w:lang w:val="en-US" w:eastAsia="zh-CN"/>
        </w:rPr>
        <w:t xml:space="preserve">    </w:t>
      </w:r>
      <w:r>
        <w:rPr>
          <w:rStyle w:val="20"/>
          <w:rFonts w:ascii="仿宋" w:hAnsi="仿宋" w:eastAsia="仿宋"/>
          <w:bCs/>
          <w:sz w:val="32"/>
          <w:szCs w:val="32"/>
        </w:rPr>
        <w:t>4.</w:t>
      </w:r>
      <w:r>
        <w:rPr>
          <w:rStyle w:val="20"/>
          <w:rFonts w:hint="eastAsia" w:ascii="仿宋" w:hAnsi="仿宋" w:eastAsia="仿宋"/>
          <w:bCs/>
          <w:sz w:val="32"/>
          <w:szCs w:val="32"/>
        </w:rPr>
        <w:t>一般公共服务（类）</w:t>
      </w:r>
      <w:r>
        <w:rPr>
          <w:rStyle w:val="20"/>
          <w:rFonts w:hint="eastAsia" w:ascii="仿宋" w:hAnsi="仿宋" w:eastAsia="仿宋"/>
          <w:bCs/>
          <w:sz w:val="32"/>
          <w:szCs w:val="32"/>
          <w:lang w:val="en-US" w:eastAsia="zh-CN"/>
        </w:rPr>
        <w:t>纪检监察事务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事业运行</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78.94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spacing w:line="600" w:lineRule="exact"/>
        <w:ind w:firstLine="643" w:firstLineChars="200"/>
        <w:rPr>
          <w:rStyle w:val="20"/>
          <w:rFonts w:hint="eastAsia" w:ascii="仿宋" w:hAnsi="仿宋" w:eastAsia="仿宋"/>
          <w:b w:val="0"/>
          <w:bCs/>
          <w:sz w:val="32"/>
          <w:szCs w:val="32"/>
          <w:lang w:eastAsia="zh-CN"/>
        </w:rPr>
      </w:pPr>
      <w:r>
        <w:rPr>
          <w:rStyle w:val="20"/>
          <w:rFonts w:ascii="仿宋" w:hAnsi="仿宋" w:eastAsia="仿宋"/>
          <w:bCs/>
          <w:sz w:val="32"/>
          <w:szCs w:val="32"/>
        </w:rPr>
        <w:t>5.</w:t>
      </w:r>
      <w:r>
        <w:rPr>
          <w:rStyle w:val="20"/>
          <w:rFonts w:hint="eastAsia" w:ascii="仿宋" w:hAnsi="仿宋" w:eastAsia="仿宋"/>
          <w:bCs/>
          <w:sz w:val="32"/>
          <w:szCs w:val="32"/>
        </w:rPr>
        <w:t>社会保障和就业（类）</w:t>
      </w:r>
      <w:r>
        <w:rPr>
          <w:rStyle w:val="20"/>
          <w:rFonts w:hint="eastAsia" w:ascii="仿宋" w:hAnsi="仿宋" w:eastAsia="仿宋"/>
          <w:bCs/>
          <w:sz w:val="32"/>
          <w:szCs w:val="32"/>
          <w:lang w:val="en-US" w:eastAsia="zh-CN"/>
        </w:rPr>
        <w:t>人力资源和社会保障和管理事务</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行政运行</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0.06</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spacing w:line="600" w:lineRule="exact"/>
        <w:ind w:firstLine="643" w:firstLineChars="200"/>
        <w:rPr>
          <w:rStyle w:val="20"/>
          <w:rFonts w:hint="eastAsia" w:ascii="仿宋" w:hAnsi="仿宋" w:eastAsia="仿宋"/>
          <w:b w:val="0"/>
          <w:bCs/>
          <w:sz w:val="32"/>
          <w:szCs w:val="32"/>
          <w:lang w:eastAsia="zh-CN"/>
        </w:rPr>
      </w:pPr>
      <w:r>
        <w:rPr>
          <w:rStyle w:val="20"/>
          <w:rFonts w:ascii="仿宋" w:hAnsi="仿宋" w:eastAsia="仿宋"/>
          <w:bCs/>
          <w:sz w:val="32"/>
          <w:szCs w:val="32"/>
        </w:rPr>
        <w:t>6.</w:t>
      </w:r>
      <w:r>
        <w:rPr>
          <w:rStyle w:val="20"/>
          <w:rFonts w:hint="eastAsia" w:ascii="仿宋" w:hAnsi="仿宋" w:eastAsia="仿宋"/>
          <w:bCs/>
          <w:sz w:val="32"/>
          <w:szCs w:val="32"/>
        </w:rPr>
        <w:t>社会保障和就业（类）</w:t>
      </w:r>
      <w:r>
        <w:rPr>
          <w:rStyle w:val="20"/>
          <w:rFonts w:hint="eastAsia" w:ascii="仿宋" w:hAnsi="仿宋" w:eastAsia="仿宋"/>
          <w:bCs/>
          <w:sz w:val="32"/>
          <w:szCs w:val="32"/>
          <w:lang w:val="en-US"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行政单位离退休</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13.60</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spacing w:line="600" w:lineRule="exact"/>
        <w:ind w:firstLine="643" w:firstLineChars="200"/>
        <w:rPr>
          <w:rStyle w:val="20"/>
          <w:rFonts w:hint="eastAsia" w:ascii="仿宋" w:hAnsi="仿宋" w:eastAsia="仿宋"/>
          <w:b w:val="0"/>
          <w:bCs/>
          <w:sz w:val="32"/>
          <w:szCs w:val="32"/>
          <w:lang w:eastAsia="zh-CN"/>
        </w:rPr>
      </w:pPr>
      <w:r>
        <w:rPr>
          <w:rStyle w:val="20"/>
          <w:rFonts w:hint="eastAsia" w:ascii="仿宋" w:hAnsi="仿宋" w:eastAsia="仿宋"/>
          <w:bCs/>
          <w:sz w:val="32"/>
          <w:szCs w:val="32"/>
          <w:lang w:val="en-US" w:eastAsia="zh-CN"/>
        </w:rPr>
        <w:t>7</w:t>
      </w:r>
      <w:r>
        <w:rPr>
          <w:rStyle w:val="20"/>
          <w:rFonts w:ascii="仿宋" w:hAnsi="仿宋" w:eastAsia="仿宋"/>
          <w:bCs/>
          <w:sz w:val="32"/>
          <w:szCs w:val="32"/>
        </w:rPr>
        <w:t>.</w:t>
      </w:r>
      <w:r>
        <w:rPr>
          <w:rStyle w:val="20"/>
          <w:rFonts w:hint="eastAsia" w:ascii="仿宋" w:hAnsi="仿宋" w:eastAsia="仿宋"/>
          <w:bCs/>
          <w:sz w:val="32"/>
          <w:szCs w:val="32"/>
        </w:rPr>
        <w:t>社会保障和就业（类）</w:t>
      </w:r>
      <w:r>
        <w:rPr>
          <w:rStyle w:val="20"/>
          <w:rFonts w:hint="eastAsia" w:ascii="仿宋" w:hAnsi="仿宋" w:eastAsia="仿宋"/>
          <w:bCs/>
          <w:sz w:val="32"/>
          <w:szCs w:val="32"/>
          <w:lang w:val="en-US"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事业单位离退休</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5.84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numPr>
          <w:ilvl w:val="0"/>
          <w:numId w:val="0"/>
        </w:numPr>
        <w:spacing w:line="600" w:lineRule="exact"/>
        <w:ind w:firstLine="643" w:firstLineChars="200"/>
        <w:rPr>
          <w:rStyle w:val="20"/>
          <w:rFonts w:hint="eastAsia" w:ascii="仿宋" w:hAnsi="仿宋" w:eastAsia="仿宋"/>
          <w:b w:val="0"/>
          <w:bCs/>
          <w:sz w:val="32"/>
          <w:szCs w:val="32"/>
          <w:lang w:eastAsia="zh-CN"/>
        </w:rPr>
      </w:pPr>
      <w:r>
        <w:rPr>
          <w:rStyle w:val="20"/>
          <w:rFonts w:hint="eastAsia" w:ascii="仿宋" w:hAnsi="仿宋" w:eastAsia="仿宋"/>
          <w:bCs/>
          <w:sz w:val="32"/>
          <w:szCs w:val="32"/>
          <w:lang w:val="en-US" w:eastAsia="zh-CN"/>
        </w:rPr>
        <w:t>8.</w:t>
      </w:r>
      <w:r>
        <w:rPr>
          <w:rStyle w:val="20"/>
          <w:rFonts w:hint="eastAsia" w:ascii="仿宋" w:hAnsi="仿宋" w:eastAsia="仿宋"/>
          <w:bCs/>
          <w:sz w:val="32"/>
          <w:szCs w:val="32"/>
        </w:rPr>
        <w:t>社会保障和就业（类）</w:t>
      </w:r>
      <w:r>
        <w:rPr>
          <w:rStyle w:val="20"/>
          <w:rFonts w:hint="eastAsia" w:ascii="仿宋" w:hAnsi="仿宋" w:eastAsia="仿宋"/>
          <w:bCs/>
          <w:sz w:val="32"/>
          <w:szCs w:val="32"/>
          <w:lang w:val="en-US"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机关事业单位基本养老保险缴费支出</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235</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numPr>
          <w:ilvl w:val="0"/>
          <w:numId w:val="0"/>
        </w:numPr>
        <w:spacing w:line="600" w:lineRule="exact"/>
        <w:ind w:firstLine="643" w:firstLineChars="200"/>
        <w:rPr>
          <w:rStyle w:val="20"/>
          <w:rFonts w:hint="eastAsia" w:ascii="仿宋" w:hAnsi="仿宋" w:eastAsia="仿宋"/>
          <w:b w:val="0"/>
          <w:bCs/>
          <w:sz w:val="32"/>
          <w:szCs w:val="32"/>
          <w:lang w:eastAsia="zh-CN"/>
        </w:rPr>
      </w:pPr>
      <w:r>
        <w:rPr>
          <w:rStyle w:val="20"/>
          <w:rFonts w:hint="eastAsia" w:ascii="仿宋" w:hAnsi="仿宋" w:eastAsia="仿宋"/>
          <w:bCs/>
          <w:sz w:val="32"/>
          <w:szCs w:val="32"/>
          <w:lang w:val="en-US" w:eastAsia="zh-CN"/>
        </w:rPr>
        <w:t>9.</w:t>
      </w:r>
      <w:r>
        <w:rPr>
          <w:rStyle w:val="20"/>
          <w:rFonts w:hint="eastAsia" w:ascii="仿宋" w:hAnsi="仿宋" w:eastAsia="仿宋"/>
          <w:bCs/>
          <w:sz w:val="32"/>
          <w:szCs w:val="32"/>
        </w:rPr>
        <w:t>社会保障和就业（类）</w:t>
      </w:r>
      <w:r>
        <w:rPr>
          <w:rStyle w:val="20"/>
          <w:rFonts w:hint="eastAsia" w:ascii="仿宋" w:hAnsi="仿宋" w:eastAsia="仿宋"/>
          <w:bCs/>
          <w:sz w:val="32"/>
          <w:szCs w:val="32"/>
          <w:lang w:val="en-US"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机关事业单位职业年金缴费支出</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29.88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numPr>
          <w:ilvl w:val="0"/>
          <w:numId w:val="0"/>
        </w:numPr>
        <w:spacing w:line="600" w:lineRule="exact"/>
        <w:ind w:firstLine="643" w:firstLineChars="200"/>
        <w:rPr>
          <w:rFonts w:hint="eastAsia"/>
          <w:lang w:eastAsia="zh-CN"/>
        </w:rPr>
      </w:pPr>
      <w:r>
        <w:rPr>
          <w:rStyle w:val="20"/>
          <w:rFonts w:hint="eastAsia" w:ascii="仿宋" w:hAnsi="仿宋" w:eastAsia="仿宋"/>
          <w:bCs/>
          <w:sz w:val="32"/>
          <w:szCs w:val="32"/>
          <w:lang w:val="en-US" w:eastAsia="zh-CN"/>
        </w:rPr>
        <w:t>10.</w:t>
      </w:r>
      <w:r>
        <w:rPr>
          <w:rStyle w:val="20"/>
          <w:rFonts w:hint="eastAsia" w:ascii="仿宋" w:hAnsi="仿宋" w:eastAsia="仿宋"/>
          <w:bCs/>
          <w:sz w:val="32"/>
          <w:szCs w:val="32"/>
        </w:rPr>
        <w:t>社会保障和就业（类）</w:t>
      </w:r>
      <w:r>
        <w:rPr>
          <w:rStyle w:val="20"/>
          <w:rFonts w:hint="eastAsia" w:ascii="仿宋" w:hAnsi="仿宋" w:eastAsia="仿宋"/>
          <w:bCs/>
          <w:sz w:val="32"/>
          <w:szCs w:val="32"/>
          <w:lang w:val="en-US" w:eastAsia="zh-CN"/>
        </w:rPr>
        <w:t>行政事业单位养老支出</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其他行政事业单位养老支出支出</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ascii="仿宋" w:hAnsi="仿宋" w:eastAsia="仿宋"/>
          <w:b w:val="0"/>
          <w:bCs/>
          <w:sz w:val="32"/>
          <w:szCs w:val="32"/>
        </w:rPr>
        <w:t xml:space="preserve"> </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2.18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numPr>
          <w:ilvl w:val="0"/>
          <w:numId w:val="0"/>
        </w:numPr>
        <w:spacing w:line="600" w:lineRule="exact"/>
        <w:ind w:firstLine="643" w:firstLineChars="200"/>
        <w:rPr>
          <w:rFonts w:ascii="仿宋" w:hAnsi="仿宋" w:eastAsia="仿宋"/>
          <w:b/>
          <w:sz w:val="32"/>
          <w:szCs w:val="32"/>
        </w:rPr>
      </w:pPr>
      <w:r>
        <w:rPr>
          <w:rStyle w:val="20"/>
          <w:rFonts w:hint="eastAsia" w:ascii="仿宋" w:hAnsi="仿宋" w:eastAsia="仿宋"/>
          <w:bCs/>
          <w:sz w:val="32"/>
          <w:szCs w:val="32"/>
          <w:lang w:val="en-US" w:eastAsia="zh-CN"/>
        </w:rPr>
        <w:t>11</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w:t>
      </w:r>
      <w:r>
        <w:rPr>
          <w:rStyle w:val="20"/>
          <w:rFonts w:hint="eastAsia" w:ascii="仿宋" w:hAnsi="仿宋" w:eastAsia="仿宋"/>
          <w:bCs/>
          <w:sz w:val="32"/>
          <w:szCs w:val="32"/>
          <w:lang w:val="en-US" w:eastAsia="zh-CN"/>
        </w:rPr>
        <w:t>行政事业单位医疗</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行政单位医疗</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82.72</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numPr>
          <w:ilvl w:val="0"/>
          <w:numId w:val="0"/>
        </w:numPr>
        <w:spacing w:line="600" w:lineRule="exact"/>
        <w:ind w:firstLine="643" w:firstLineChars="200"/>
        <w:rPr>
          <w:rFonts w:ascii="仿宋" w:hAnsi="仿宋" w:eastAsia="仿宋"/>
          <w:b/>
          <w:sz w:val="32"/>
          <w:szCs w:val="32"/>
        </w:rPr>
      </w:pPr>
      <w:r>
        <w:rPr>
          <w:rStyle w:val="20"/>
          <w:rFonts w:hint="eastAsia" w:ascii="仿宋" w:hAnsi="仿宋" w:eastAsia="仿宋"/>
          <w:bCs/>
          <w:sz w:val="32"/>
          <w:szCs w:val="32"/>
          <w:lang w:val="en-US" w:eastAsia="zh-CN"/>
        </w:rPr>
        <w:t>12</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w:t>
      </w:r>
      <w:r>
        <w:rPr>
          <w:rStyle w:val="20"/>
          <w:rFonts w:hint="eastAsia" w:ascii="仿宋" w:hAnsi="仿宋" w:eastAsia="仿宋"/>
          <w:bCs/>
          <w:sz w:val="32"/>
          <w:szCs w:val="32"/>
          <w:lang w:val="en-US" w:eastAsia="zh-CN"/>
        </w:rPr>
        <w:t>行政事业单位医疗</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事业单位医疗</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2.8</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p>
    <w:p>
      <w:pPr>
        <w:spacing w:line="600" w:lineRule="exact"/>
        <w:ind w:firstLine="643" w:firstLineChars="200"/>
        <w:rPr>
          <w:rFonts w:hint="eastAsia" w:ascii="仿宋" w:hAnsi="仿宋" w:eastAsia="仿宋"/>
          <w:sz w:val="32"/>
          <w:szCs w:val="32"/>
          <w:lang w:eastAsia="zh-CN"/>
        </w:rPr>
      </w:pPr>
      <w:r>
        <w:rPr>
          <w:rStyle w:val="20"/>
          <w:rFonts w:hint="eastAsia" w:ascii="仿宋" w:hAnsi="仿宋" w:eastAsia="仿宋"/>
          <w:bCs/>
          <w:sz w:val="32"/>
          <w:szCs w:val="32"/>
          <w:lang w:val="en-US" w:eastAsia="zh-CN"/>
        </w:rPr>
        <w:t>13</w:t>
      </w:r>
      <w:r>
        <w:rPr>
          <w:rStyle w:val="20"/>
          <w:rFonts w:ascii="仿宋" w:hAnsi="仿宋" w:eastAsia="仿宋"/>
          <w:bCs/>
          <w:sz w:val="32"/>
          <w:szCs w:val="32"/>
        </w:rPr>
        <w:t>.</w:t>
      </w:r>
      <w:r>
        <w:rPr>
          <w:rFonts w:hint="eastAsia" w:ascii="仿宋" w:hAnsi="仿宋" w:eastAsia="仿宋"/>
          <w:b/>
          <w:bCs/>
          <w:sz w:val="32"/>
          <w:szCs w:val="32"/>
        </w:rPr>
        <w:t>卫生健康</w:t>
      </w:r>
      <w:r>
        <w:rPr>
          <w:rStyle w:val="20"/>
          <w:rFonts w:hint="eastAsia" w:ascii="仿宋" w:hAnsi="仿宋" w:eastAsia="仿宋"/>
          <w:bCs/>
          <w:sz w:val="32"/>
          <w:szCs w:val="32"/>
        </w:rPr>
        <w:t>（类）</w:t>
      </w:r>
      <w:r>
        <w:rPr>
          <w:rStyle w:val="20"/>
          <w:rFonts w:hint="eastAsia" w:ascii="仿宋" w:hAnsi="仿宋" w:eastAsia="仿宋"/>
          <w:bCs/>
          <w:sz w:val="32"/>
          <w:szCs w:val="32"/>
          <w:lang w:val="en-US" w:eastAsia="zh-CN"/>
        </w:rPr>
        <w:t>行政事业单位医疗</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公务员医疗补助</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6.34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spacing w:line="600" w:lineRule="exact"/>
        <w:ind w:firstLine="643" w:firstLineChars="200"/>
        <w:rPr>
          <w:rFonts w:hint="eastAsia" w:ascii="仿宋" w:hAnsi="仿宋" w:eastAsia="仿宋"/>
          <w:sz w:val="32"/>
          <w:szCs w:val="32"/>
          <w:lang w:eastAsia="zh-CN"/>
        </w:rPr>
      </w:pPr>
      <w:r>
        <w:rPr>
          <w:rStyle w:val="20"/>
          <w:rFonts w:hint="eastAsia" w:ascii="仿宋" w:hAnsi="仿宋" w:eastAsia="仿宋"/>
          <w:bCs/>
          <w:sz w:val="32"/>
          <w:szCs w:val="32"/>
          <w:lang w:val="en-US" w:eastAsia="zh-CN"/>
        </w:rPr>
        <w:t>14</w:t>
      </w:r>
      <w:r>
        <w:rPr>
          <w:rStyle w:val="20"/>
          <w:rFonts w:ascii="仿宋" w:hAnsi="仿宋" w:eastAsia="仿宋"/>
          <w:bCs/>
          <w:sz w:val="32"/>
          <w:szCs w:val="32"/>
        </w:rPr>
        <w:t>.</w:t>
      </w:r>
      <w:r>
        <w:rPr>
          <w:rFonts w:hint="eastAsia" w:ascii="仿宋" w:hAnsi="仿宋" w:eastAsia="仿宋"/>
          <w:b/>
          <w:bCs/>
          <w:sz w:val="32"/>
          <w:szCs w:val="32"/>
          <w:lang w:val="en-US" w:eastAsia="zh-CN"/>
        </w:rPr>
        <w:t>农林水支出</w:t>
      </w:r>
      <w:r>
        <w:rPr>
          <w:rStyle w:val="20"/>
          <w:rFonts w:hint="eastAsia" w:ascii="仿宋" w:hAnsi="仿宋" w:eastAsia="仿宋"/>
          <w:bCs/>
          <w:sz w:val="32"/>
          <w:szCs w:val="32"/>
        </w:rPr>
        <w:t>（类）</w:t>
      </w:r>
      <w:r>
        <w:rPr>
          <w:rStyle w:val="20"/>
          <w:rFonts w:hint="eastAsia" w:ascii="仿宋" w:hAnsi="仿宋" w:eastAsia="仿宋"/>
          <w:bCs/>
          <w:sz w:val="32"/>
          <w:szCs w:val="32"/>
          <w:lang w:val="en-US" w:eastAsia="zh-CN"/>
        </w:rPr>
        <w:t>巩固脱贫攻坚成果衔接乡村振兴支出</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其他巩固脱贫攻坚成果衔接乡村振兴支出</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6.64</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spacing w:line="600" w:lineRule="exact"/>
        <w:ind w:firstLine="640"/>
        <w:rPr>
          <w:rStyle w:val="20"/>
          <w:rFonts w:hint="eastAsia" w:ascii="仿宋" w:hAnsi="仿宋" w:eastAsia="仿宋"/>
          <w:b w:val="0"/>
          <w:bCs/>
          <w:sz w:val="32"/>
          <w:szCs w:val="32"/>
          <w:lang w:eastAsia="zh-CN"/>
        </w:rPr>
      </w:pPr>
      <w:r>
        <w:rPr>
          <w:rStyle w:val="20"/>
          <w:rFonts w:hint="eastAsia" w:ascii="仿宋" w:hAnsi="仿宋" w:eastAsia="仿宋"/>
          <w:bCs/>
          <w:sz w:val="32"/>
          <w:szCs w:val="32"/>
          <w:lang w:val="en-US" w:eastAsia="zh-CN"/>
        </w:rPr>
        <w:t>15</w:t>
      </w:r>
      <w:r>
        <w:rPr>
          <w:rStyle w:val="20"/>
          <w:rFonts w:ascii="仿宋" w:hAnsi="仿宋" w:eastAsia="仿宋"/>
          <w:bCs/>
          <w:sz w:val="32"/>
          <w:szCs w:val="32"/>
        </w:rPr>
        <w:t>.</w:t>
      </w:r>
      <w:r>
        <w:rPr>
          <w:rFonts w:hint="eastAsia" w:ascii="仿宋" w:hAnsi="仿宋" w:eastAsia="仿宋"/>
          <w:b/>
          <w:bCs/>
          <w:sz w:val="32"/>
          <w:szCs w:val="32"/>
          <w:lang w:val="en-US" w:eastAsia="zh-CN"/>
        </w:rPr>
        <w:t>住房保障支出</w:t>
      </w:r>
      <w:r>
        <w:rPr>
          <w:rStyle w:val="20"/>
          <w:rFonts w:hint="eastAsia" w:ascii="仿宋" w:hAnsi="仿宋" w:eastAsia="仿宋"/>
          <w:bCs/>
          <w:sz w:val="32"/>
          <w:szCs w:val="32"/>
        </w:rPr>
        <w:t>（类）</w:t>
      </w:r>
      <w:r>
        <w:rPr>
          <w:rStyle w:val="20"/>
          <w:rFonts w:hint="eastAsia" w:ascii="仿宋" w:hAnsi="仿宋" w:eastAsia="仿宋"/>
          <w:bCs/>
          <w:sz w:val="32"/>
          <w:szCs w:val="32"/>
          <w:lang w:val="en-US" w:eastAsia="zh-CN"/>
        </w:rPr>
        <w:t>住房改革支出</w:t>
      </w:r>
      <w:r>
        <w:rPr>
          <w:rStyle w:val="20"/>
          <w:rFonts w:hint="eastAsia" w:ascii="仿宋" w:hAnsi="仿宋" w:eastAsia="仿宋"/>
          <w:bCs/>
          <w:sz w:val="32"/>
          <w:szCs w:val="32"/>
        </w:rPr>
        <w:t>（款）</w:t>
      </w:r>
      <w:r>
        <w:rPr>
          <w:rStyle w:val="20"/>
          <w:rFonts w:hint="eastAsia" w:ascii="仿宋" w:hAnsi="仿宋" w:eastAsia="仿宋"/>
          <w:bCs/>
          <w:sz w:val="32"/>
          <w:szCs w:val="32"/>
          <w:lang w:val="en-US" w:eastAsia="zh-CN"/>
        </w:rPr>
        <w:t>住房公积金</w:t>
      </w:r>
      <w:r>
        <w:rPr>
          <w:rStyle w:val="20"/>
          <w:rFonts w:hint="eastAsia" w:ascii="仿宋" w:hAnsi="仿宋" w:eastAsia="仿宋"/>
          <w:bCs/>
          <w:sz w:val="32"/>
          <w:szCs w:val="32"/>
        </w:rPr>
        <w:t>（项）</w:t>
      </w:r>
      <w:r>
        <w:rPr>
          <w:rStyle w:val="20"/>
          <w:rFonts w:ascii="仿宋" w:hAnsi="仿宋" w:eastAsia="仿宋"/>
          <w:bCs/>
          <w:sz w:val="32"/>
          <w:szCs w:val="32"/>
        </w:rPr>
        <w:t>:</w:t>
      </w:r>
      <w:r>
        <w:rPr>
          <w:rStyle w:val="20"/>
          <w:rFonts w:hint="eastAsia" w:ascii="仿宋" w:hAnsi="仿宋" w:eastAsia="仿宋"/>
          <w:b w:val="0"/>
          <w:bCs/>
          <w:sz w:val="32"/>
          <w:szCs w:val="32"/>
        </w:rPr>
        <w:t>支出决算为</w:t>
      </w:r>
      <w:r>
        <w:rPr>
          <w:rStyle w:val="20"/>
          <w:rFonts w:hint="eastAsia" w:ascii="仿宋" w:hAnsi="仿宋" w:eastAsia="仿宋"/>
          <w:b w:val="0"/>
          <w:bCs/>
          <w:sz w:val="32"/>
          <w:szCs w:val="32"/>
          <w:lang w:val="en-US" w:eastAsia="zh-CN"/>
        </w:rPr>
        <w:t>195.91</w:t>
      </w:r>
      <w:r>
        <w:rPr>
          <w:rStyle w:val="20"/>
          <w:rFonts w:hint="eastAsia" w:ascii="仿宋" w:hAnsi="仿宋" w:eastAsia="仿宋"/>
          <w:b w:val="0"/>
          <w:bCs/>
          <w:sz w:val="32"/>
          <w:szCs w:val="32"/>
        </w:rPr>
        <w:t>万元，完成预算</w:t>
      </w:r>
      <w:r>
        <w:rPr>
          <w:rStyle w:val="20"/>
          <w:rFonts w:hint="eastAsia" w:ascii="仿宋" w:hAnsi="仿宋" w:eastAsia="仿宋"/>
          <w:b w:val="0"/>
          <w:bCs/>
          <w:sz w:val="32"/>
          <w:szCs w:val="32"/>
          <w:lang w:val="en-US" w:eastAsia="zh-CN"/>
        </w:rPr>
        <w:t>100</w:t>
      </w:r>
      <w:r>
        <w:rPr>
          <w:rStyle w:val="20"/>
          <w:rFonts w:ascii="仿宋" w:hAnsi="仿宋" w:eastAsia="仿宋"/>
          <w:b w:val="0"/>
          <w:bCs/>
          <w:sz w:val="32"/>
          <w:szCs w:val="32"/>
        </w:rPr>
        <w:t>%</w:t>
      </w:r>
      <w:r>
        <w:rPr>
          <w:rStyle w:val="20"/>
          <w:rFonts w:hint="eastAsia" w:ascii="仿宋" w:hAnsi="仿宋" w:eastAsia="仿宋"/>
          <w:b w:val="0"/>
          <w:bCs/>
          <w:sz w:val="32"/>
          <w:szCs w:val="32"/>
          <w:lang w:eastAsia="zh-CN"/>
        </w:rPr>
        <w:t>。</w:t>
      </w:r>
    </w:p>
    <w:p>
      <w:pPr>
        <w:pStyle w:val="4"/>
        <w:bidi w:val="0"/>
      </w:pPr>
      <w:bookmarkStart w:id="37" w:name="_Toc18608"/>
      <w:bookmarkStart w:id="38" w:name="_Toc6688"/>
      <w:bookmarkStart w:id="39" w:name="_Toc15396608"/>
      <w:bookmarkStart w:id="40" w:name="_Toc21998"/>
      <w:bookmarkStart w:id="41" w:name="_Toc8696"/>
      <w:bookmarkStart w:id="42" w:name="_Toc15377214"/>
      <w:bookmarkStart w:id="43" w:name="_Toc9159"/>
      <w:r>
        <w:rPr>
          <w:rFonts w:hint="eastAsia"/>
        </w:rPr>
        <w:t>六、一般公共预算财政拨款基本支出决算情况说明</w:t>
      </w:r>
      <w:bookmarkEnd w:id="37"/>
      <w:bookmarkEnd w:id="38"/>
      <w:bookmarkEnd w:id="39"/>
      <w:bookmarkEnd w:id="40"/>
      <w:bookmarkEnd w:id="41"/>
      <w:bookmarkEnd w:id="42"/>
      <w:bookmarkEnd w:id="43"/>
      <w:r>
        <w:tab/>
      </w:r>
    </w:p>
    <w:p>
      <w:pPr>
        <w:spacing w:line="600" w:lineRule="exact"/>
        <w:ind w:firstLine="645"/>
      </w:pPr>
      <w:r>
        <w:rPr>
          <w:rFonts w:hint="eastAsia" w:ascii="仿宋" w:hAnsi="仿宋" w:eastAsia="仿宋"/>
          <w:sz w:val="32"/>
          <w:szCs w:val="32"/>
        </w:rPr>
        <w:t>2023年度一般公共预算财政拨款基本支</w:t>
      </w:r>
      <w:r>
        <w:rPr>
          <w:rFonts w:hint="eastAsia" w:ascii="仿宋" w:hAnsi="仿宋" w:eastAsia="仿宋"/>
          <w:sz w:val="32"/>
          <w:szCs w:val="32"/>
          <w:lang w:val="en-US" w:eastAsia="zh-CN"/>
        </w:rPr>
        <w:t>出2753.68万元</w:t>
      </w:r>
      <w:r>
        <w:rPr>
          <w:rFonts w:hint="eastAsia" w:ascii="仿宋" w:hAnsi="仿宋" w:eastAsia="仿宋"/>
          <w:sz w:val="32"/>
          <w:szCs w:val="32"/>
        </w:rPr>
        <w:t>，其中：人员经费2307.45万元，主要包括：基本工资</w:t>
      </w:r>
      <w:r>
        <w:rPr>
          <w:rFonts w:hint="eastAsia" w:ascii="仿宋" w:hAnsi="仿宋" w:eastAsia="仿宋"/>
          <w:sz w:val="32"/>
          <w:szCs w:val="32"/>
          <w:lang w:val="en-US" w:eastAsia="zh-CN"/>
        </w:rPr>
        <w:t>588.78万元</w:t>
      </w:r>
      <w:r>
        <w:rPr>
          <w:rFonts w:hint="eastAsia" w:ascii="仿宋" w:hAnsi="仿宋" w:eastAsia="仿宋"/>
          <w:sz w:val="32"/>
          <w:szCs w:val="32"/>
        </w:rPr>
        <w:t>、津贴补贴</w:t>
      </w:r>
      <w:r>
        <w:rPr>
          <w:rFonts w:hint="eastAsia" w:ascii="仿宋" w:hAnsi="仿宋" w:eastAsia="仿宋"/>
          <w:sz w:val="32"/>
          <w:szCs w:val="32"/>
          <w:lang w:val="en-US" w:eastAsia="zh-CN"/>
        </w:rPr>
        <w:t>408.82万元</w:t>
      </w:r>
      <w:r>
        <w:rPr>
          <w:rFonts w:hint="eastAsia" w:ascii="仿宋" w:hAnsi="仿宋" w:eastAsia="仿宋"/>
          <w:sz w:val="32"/>
          <w:szCs w:val="32"/>
        </w:rPr>
        <w:t>、奖金</w:t>
      </w:r>
      <w:r>
        <w:rPr>
          <w:rFonts w:hint="eastAsia" w:ascii="仿宋" w:hAnsi="仿宋" w:eastAsia="仿宋"/>
          <w:sz w:val="32"/>
          <w:szCs w:val="32"/>
          <w:lang w:val="en-US" w:eastAsia="zh-CN"/>
        </w:rPr>
        <w:t>682.79万元</w:t>
      </w:r>
      <w:r>
        <w:rPr>
          <w:rFonts w:hint="eastAsia" w:ascii="仿宋" w:hAnsi="仿宋" w:eastAsia="仿宋"/>
          <w:sz w:val="32"/>
          <w:szCs w:val="32"/>
        </w:rPr>
        <w:t>、绩效工资</w:t>
      </w:r>
      <w:r>
        <w:rPr>
          <w:rFonts w:hint="eastAsia" w:ascii="仿宋" w:hAnsi="仿宋" w:eastAsia="仿宋"/>
          <w:sz w:val="32"/>
          <w:szCs w:val="32"/>
          <w:lang w:val="en-US" w:eastAsia="zh-CN"/>
        </w:rPr>
        <w:t>27.96万元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235万元</w:t>
      </w:r>
      <w:r>
        <w:rPr>
          <w:rFonts w:hint="eastAsia" w:ascii="仿宋" w:hAnsi="仿宋" w:eastAsia="仿宋"/>
          <w:sz w:val="32"/>
          <w:szCs w:val="32"/>
        </w:rPr>
        <w:t>、职业年金缴费</w:t>
      </w:r>
      <w:r>
        <w:rPr>
          <w:rFonts w:hint="eastAsia" w:ascii="仿宋" w:hAnsi="仿宋" w:eastAsia="仿宋"/>
          <w:sz w:val="32"/>
          <w:szCs w:val="32"/>
          <w:lang w:val="en-US" w:eastAsia="zh-CN"/>
        </w:rPr>
        <w:t>29.88万元</w:t>
      </w:r>
      <w:r>
        <w:rPr>
          <w:rFonts w:hint="eastAsia" w:ascii="仿宋" w:hAnsi="仿宋" w:eastAsia="仿宋"/>
          <w:sz w:val="32"/>
          <w:szCs w:val="32"/>
        </w:rPr>
        <w:t>、</w:t>
      </w:r>
      <w:r>
        <w:rPr>
          <w:rFonts w:hint="eastAsia" w:ascii="仿宋" w:hAnsi="仿宋" w:eastAsia="仿宋"/>
          <w:sz w:val="32"/>
          <w:szCs w:val="32"/>
          <w:lang w:val="en-US" w:eastAsia="zh-CN"/>
        </w:rPr>
        <w:t>职工基本医疗保险缴费85.52万元、公务员医疗补助缴费6.34万元、</w:t>
      </w:r>
      <w:r>
        <w:rPr>
          <w:rFonts w:hint="eastAsia" w:ascii="仿宋" w:hAnsi="仿宋" w:eastAsia="仿宋"/>
          <w:sz w:val="32"/>
          <w:szCs w:val="32"/>
        </w:rPr>
        <w:t>其他社会保障缴费</w:t>
      </w:r>
      <w:r>
        <w:rPr>
          <w:rFonts w:hint="eastAsia" w:ascii="仿宋" w:hAnsi="仿宋" w:eastAsia="仿宋"/>
          <w:sz w:val="32"/>
          <w:szCs w:val="32"/>
          <w:lang w:val="en-US" w:eastAsia="zh-CN"/>
        </w:rPr>
        <w:t>24.71万元</w:t>
      </w:r>
      <w:r>
        <w:rPr>
          <w:rFonts w:hint="eastAsia" w:ascii="仿宋" w:hAnsi="仿宋" w:eastAsia="仿宋"/>
          <w:sz w:val="32"/>
          <w:szCs w:val="32"/>
        </w:rPr>
        <w:t>、生活补助</w:t>
      </w:r>
      <w:r>
        <w:rPr>
          <w:rFonts w:hint="eastAsia" w:ascii="仿宋" w:hAnsi="仿宋" w:eastAsia="仿宋"/>
          <w:sz w:val="32"/>
          <w:szCs w:val="32"/>
          <w:lang w:val="en-US" w:eastAsia="zh-CN"/>
        </w:rPr>
        <w:t>19.44万元</w:t>
      </w:r>
      <w:r>
        <w:rPr>
          <w:rFonts w:hint="eastAsia" w:ascii="仿宋" w:hAnsi="仿宋" w:eastAsia="仿宋"/>
          <w:sz w:val="32"/>
          <w:szCs w:val="32"/>
        </w:rPr>
        <w:t>、奖励金</w:t>
      </w:r>
      <w:r>
        <w:rPr>
          <w:rFonts w:hint="eastAsia" w:ascii="仿宋" w:hAnsi="仿宋" w:eastAsia="仿宋"/>
          <w:sz w:val="32"/>
          <w:szCs w:val="32"/>
          <w:lang w:val="en-US" w:eastAsia="zh-CN"/>
        </w:rPr>
        <w:t>0.12万元</w:t>
      </w:r>
      <w:r>
        <w:rPr>
          <w:rFonts w:hint="eastAsia" w:ascii="仿宋" w:hAnsi="仿宋" w:eastAsia="仿宋"/>
          <w:sz w:val="32"/>
          <w:szCs w:val="32"/>
        </w:rPr>
        <w:t>、住房公积金</w:t>
      </w:r>
      <w:r>
        <w:rPr>
          <w:rFonts w:hint="eastAsia" w:ascii="仿宋" w:hAnsi="仿宋" w:eastAsia="仿宋"/>
          <w:sz w:val="32"/>
          <w:szCs w:val="32"/>
          <w:lang w:val="en-US" w:eastAsia="zh-CN"/>
        </w:rPr>
        <w:t>195.91万元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2.18万元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公用经费446.23万元，主要包括：办公费</w:t>
      </w:r>
      <w:r>
        <w:rPr>
          <w:rFonts w:hint="eastAsia" w:ascii="仿宋" w:hAnsi="仿宋" w:eastAsia="仿宋"/>
          <w:sz w:val="32"/>
          <w:szCs w:val="32"/>
          <w:lang w:val="en-US" w:eastAsia="zh-CN"/>
        </w:rPr>
        <w:t>26.72万元</w:t>
      </w:r>
      <w:r>
        <w:rPr>
          <w:rFonts w:hint="eastAsia" w:ascii="仿宋" w:hAnsi="仿宋" w:eastAsia="仿宋"/>
          <w:sz w:val="32"/>
          <w:szCs w:val="32"/>
        </w:rPr>
        <w:t>、印刷费</w:t>
      </w:r>
      <w:r>
        <w:rPr>
          <w:rFonts w:hint="eastAsia" w:ascii="仿宋" w:hAnsi="仿宋" w:eastAsia="仿宋"/>
          <w:sz w:val="32"/>
          <w:szCs w:val="32"/>
          <w:lang w:val="en-US" w:eastAsia="zh-CN"/>
        </w:rPr>
        <w:t>14.76万元</w:t>
      </w:r>
      <w:r>
        <w:rPr>
          <w:rFonts w:hint="eastAsia" w:ascii="仿宋" w:hAnsi="仿宋" w:eastAsia="仿宋"/>
          <w:sz w:val="32"/>
          <w:szCs w:val="32"/>
        </w:rPr>
        <w:t>、水费</w:t>
      </w:r>
      <w:r>
        <w:rPr>
          <w:rFonts w:hint="eastAsia" w:ascii="仿宋" w:hAnsi="仿宋" w:eastAsia="仿宋"/>
          <w:sz w:val="32"/>
          <w:szCs w:val="32"/>
          <w:lang w:val="en-US" w:eastAsia="zh-CN"/>
        </w:rPr>
        <w:t>2.18万元</w:t>
      </w:r>
      <w:r>
        <w:rPr>
          <w:rFonts w:hint="eastAsia" w:ascii="仿宋" w:hAnsi="仿宋" w:eastAsia="仿宋"/>
          <w:sz w:val="32"/>
          <w:szCs w:val="32"/>
        </w:rPr>
        <w:t>、邮电费</w:t>
      </w:r>
      <w:r>
        <w:rPr>
          <w:rFonts w:hint="eastAsia" w:ascii="仿宋" w:hAnsi="仿宋" w:eastAsia="仿宋"/>
          <w:sz w:val="32"/>
          <w:szCs w:val="32"/>
          <w:lang w:val="en-US" w:eastAsia="zh-CN"/>
        </w:rPr>
        <w:t>14.51万元</w:t>
      </w:r>
      <w:r>
        <w:rPr>
          <w:rFonts w:hint="eastAsia" w:ascii="仿宋" w:hAnsi="仿宋" w:eastAsia="仿宋"/>
          <w:sz w:val="32"/>
          <w:szCs w:val="32"/>
        </w:rPr>
        <w:t>、差旅费</w:t>
      </w:r>
      <w:r>
        <w:rPr>
          <w:rFonts w:hint="eastAsia" w:ascii="仿宋" w:hAnsi="仿宋" w:eastAsia="仿宋"/>
          <w:sz w:val="32"/>
          <w:szCs w:val="32"/>
          <w:lang w:val="en-US" w:eastAsia="zh-CN"/>
        </w:rPr>
        <w:t>55.51万元</w:t>
      </w:r>
      <w:r>
        <w:rPr>
          <w:rFonts w:hint="eastAsia" w:ascii="仿宋" w:hAnsi="仿宋" w:eastAsia="仿宋"/>
          <w:sz w:val="32"/>
          <w:szCs w:val="32"/>
        </w:rPr>
        <w:t>、维修（护）费</w:t>
      </w:r>
      <w:r>
        <w:rPr>
          <w:rFonts w:hint="eastAsia" w:ascii="仿宋" w:hAnsi="仿宋" w:eastAsia="仿宋"/>
          <w:sz w:val="32"/>
          <w:szCs w:val="32"/>
          <w:lang w:val="en-US" w:eastAsia="zh-CN"/>
        </w:rPr>
        <w:t>4.98万元</w:t>
      </w:r>
      <w:r>
        <w:rPr>
          <w:rFonts w:hint="eastAsia" w:ascii="仿宋" w:hAnsi="仿宋" w:eastAsia="仿宋"/>
          <w:sz w:val="32"/>
          <w:szCs w:val="32"/>
        </w:rPr>
        <w:t>、租赁费</w:t>
      </w:r>
      <w:r>
        <w:rPr>
          <w:rFonts w:hint="eastAsia" w:ascii="仿宋" w:hAnsi="仿宋" w:eastAsia="仿宋"/>
          <w:sz w:val="32"/>
          <w:szCs w:val="32"/>
          <w:lang w:val="en-US" w:eastAsia="zh-CN"/>
        </w:rPr>
        <w:t>6.49万元</w:t>
      </w:r>
      <w:r>
        <w:rPr>
          <w:rFonts w:hint="eastAsia" w:ascii="仿宋" w:hAnsi="仿宋" w:eastAsia="仿宋"/>
          <w:sz w:val="32"/>
          <w:szCs w:val="32"/>
        </w:rPr>
        <w:t>、会议费</w:t>
      </w:r>
      <w:r>
        <w:rPr>
          <w:rFonts w:hint="eastAsia" w:ascii="仿宋" w:hAnsi="仿宋" w:eastAsia="仿宋"/>
          <w:sz w:val="32"/>
          <w:szCs w:val="32"/>
          <w:lang w:val="en-US" w:eastAsia="zh-CN"/>
        </w:rPr>
        <w:t>1.5万元</w:t>
      </w:r>
      <w:r>
        <w:rPr>
          <w:rFonts w:hint="eastAsia" w:ascii="仿宋" w:hAnsi="仿宋" w:eastAsia="仿宋"/>
          <w:sz w:val="32"/>
          <w:szCs w:val="32"/>
        </w:rPr>
        <w:t>、培训费</w:t>
      </w:r>
      <w:r>
        <w:rPr>
          <w:rFonts w:hint="eastAsia" w:ascii="仿宋" w:hAnsi="仿宋" w:eastAsia="仿宋"/>
          <w:sz w:val="32"/>
          <w:szCs w:val="32"/>
          <w:lang w:val="en-US" w:eastAsia="zh-CN"/>
        </w:rPr>
        <w:t>4.43万元</w:t>
      </w:r>
      <w:r>
        <w:rPr>
          <w:rFonts w:hint="eastAsia" w:ascii="仿宋" w:hAnsi="仿宋" w:eastAsia="仿宋"/>
          <w:sz w:val="32"/>
          <w:szCs w:val="32"/>
        </w:rPr>
        <w:t>、公务接待费</w:t>
      </w:r>
      <w:r>
        <w:rPr>
          <w:rFonts w:hint="eastAsia" w:ascii="仿宋" w:hAnsi="仿宋" w:eastAsia="仿宋"/>
          <w:sz w:val="32"/>
          <w:szCs w:val="32"/>
          <w:lang w:val="en-US" w:eastAsia="zh-CN"/>
        </w:rPr>
        <w:t>2.75万元</w:t>
      </w:r>
      <w:r>
        <w:rPr>
          <w:rFonts w:hint="eastAsia" w:ascii="仿宋" w:hAnsi="仿宋" w:eastAsia="仿宋"/>
          <w:sz w:val="32"/>
          <w:szCs w:val="32"/>
        </w:rPr>
        <w:t>、劳务费</w:t>
      </w:r>
      <w:r>
        <w:rPr>
          <w:rFonts w:hint="eastAsia" w:ascii="仿宋" w:hAnsi="仿宋" w:eastAsia="仿宋"/>
          <w:sz w:val="32"/>
          <w:szCs w:val="32"/>
          <w:lang w:val="en-US" w:eastAsia="zh-CN"/>
        </w:rPr>
        <w:t>11.87万元</w:t>
      </w:r>
      <w:r>
        <w:rPr>
          <w:rFonts w:hint="eastAsia" w:ascii="仿宋" w:hAnsi="仿宋" w:eastAsia="仿宋"/>
          <w:sz w:val="32"/>
          <w:szCs w:val="32"/>
        </w:rPr>
        <w:t>、工会经费</w:t>
      </w:r>
      <w:r>
        <w:rPr>
          <w:rFonts w:hint="eastAsia" w:ascii="仿宋" w:hAnsi="仿宋" w:eastAsia="仿宋"/>
          <w:sz w:val="32"/>
          <w:szCs w:val="32"/>
          <w:lang w:val="en-US" w:eastAsia="zh-CN"/>
        </w:rPr>
        <w:t>20.91万元</w:t>
      </w:r>
      <w:r>
        <w:rPr>
          <w:rFonts w:hint="eastAsia" w:ascii="仿宋" w:hAnsi="仿宋" w:eastAsia="仿宋"/>
          <w:sz w:val="32"/>
          <w:szCs w:val="32"/>
        </w:rPr>
        <w:t>、福利费</w:t>
      </w:r>
      <w:r>
        <w:rPr>
          <w:rFonts w:hint="eastAsia" w:ascii="仿宋" w:hAnsi="仿宋" w:eastAsia="仿宋"/>
          <w:sz w:val="32"/>
          <w:szCs w:val="32"/>
          <w:lang w:val="en-US" w:eastAsia="zh-CN"/>
        </w:rPr>
        <w:t>36.95万元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34.87万元</w:t>
      </w:r>
      <w:r>
        <w:rPr>
          <w:rFonts w:hint="eastAsia" w:ascii="仿宋" w:hAnsi="仿宋" w:eastAsia="仿宋"/>
          <w:sz w:val="32"/>
          <w:szCs w:val="32"/>
        </w:rPr>
        <w:t>、其他交通费</w:t>
      </w:r>
      <w:r>
        <w:rPr>
          <w:rFonts w:hint="eastAsia" w:ascii="仿宋" w:hAnsi="仿宋" w:eastAsia="仿宋"/>
          <w:sz w:val="32"/>
          <w:szCs w:val="32"/>
          <w:lang w:val="en-US" w:eastAsia="zh-CN"/>
        </w:rPr>
        <w:t>117.97万元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82.17万元</w:t>
      </w:r>
      <w:r>
        <w:rPr>
          <w:rFonts w:hint="eastAsia" w:ascii="仿宋" w:hAnsi="仿宋" w:eastAsia="仿宋"/>
          <w:sz w:val="32"/>
          <w:szCs w:val="32"/>
        </w:rPr>
        <w:t>、办公设备购置</w:t>
      </w:r>
      <w:r>
        <w:rPr>
          <w:rFonts w:hint="eastAsia" w:ascii="仿宋" w:hAnsi="仿宋" w:eastAsia="仿宋"/>
          <w:sz w:val="32"/>
          <w:szCs w:val="32"/>
          <w:lang w:val="en-US" w:eastAsia="zh-CN"/>
        </w:rPr>
        <w:t>7.66万元</w:t>
      </w:r>
      <w:r>
        <w:rPr>
          <w:rFonts w:hint="eastAsia" w:ascii="仿宋" w:hAnsi="仿宋" w:eastAsia="仿宋"/>
          <w:sz w:val="32"/>
          <w:szCs w:val="32"/>
        </w:rPr>
        <w:t>。</w:t>
      </w:r>
    </w:p>
    <w:p>
      <w:pPr>
        <w:pStyle w:val="4"/>
        <w:bidi w:val="0"/>
      </w:pPr>
      <w:bookmarkStart w:id="44" w:name="_Toc15377215"/>
      <w:bookmarkStart w:id="45" w:name="_Toc15396609"/>
      <w:bookmarkStart w:id="46" w:name="_Toc32415"/>
      <w:r>
        <w:rPr>
          <w:rFonts w:hint="eastAsia"/>
          <w:lang w:val="en-US" w:eastAsia="zh-CN"/>
        </w:rPr>
        <w:t>七、</w:t>
      </w:r>
      <w:r>
        <w:rPr>
          <w:rFonts w:hint="eastAsia"/>
        </w:rPr>
        <w:t>财政拨款“三公”经费支出决算情况说明</w:t>
      </w:r>
      <w:bookmarkEnd w:id="44"/>
      <w:bookmarkEnd w:id="45"/>
      <w:bookmarkEnd w:id="46"/>
    </w:p>
    <w:p>
      <w:pPr>
        <w:spacing w:line="600" w:lineRule="exact"/>
        <w:ind w:firstLine="640"/>
        <w:outlineLvl w:val="2"/>
        <w:rPr>
          <w:rFonts w:ascii="仿宋" w:hAnsi="仿宋" w:eastAsia="仿宋"/>
          <w:b/>
          <w:sz w:val="32"/>
          <w:szCs w:val="32"/>
        </w:rPr>
      </w:pPr>
      <w:bookmarkStart w:id="47" w:name="_Toc15377216"/>
      <w:r>
        <w:rPr>
          <w:rFonts w:hint="eastAsia" w:ascii="仿宋" w:hAnsi="仿宋" w:eastAsia="仿宋"/>
          <w:b/>
          <w:sz w:val="32"/>
          <w:szCs w:val="32"/>
        </w:rPr>
        <w:t>（一）“三公”经费财政拨款支出决算总体情况说明</w:t>
      </w:r>
      <w:bookmarkEnd w:id="47"/>
    </w:p>
    <w:p>
      <w:pPr>
        <w:spacing w:line="600" w:lineRule="exact"/>
        <w:ind w:firstLine="645"/>
        <w:rPr>
          <w:rFonts w:hint="eastAsia" w:ascii="仿宋" w:hAnsi="仿宋" w:eastAsia="仿宋"/>
          <w:sz w:val="32"/>
          <w:szCs w:val="32"/>
          <w:lang w:val="en-US" w:eastAsia="zh-CN"/>
        </w:rPr>
      </w:pPr>
      <w:bookmarkStart w:id="48" w:name="_Toc15377217"/>
      <w:r>
        <w:rPr>
          <w:rFonts w:hint="eastAsia" w:ascii="仿宋" w:hAnsi="仿宋" w:eastAsia="仿宋"/>
          <w:sz w:val="32"/>
          <w:szCs w:val="32"/>
        </w:rPr>
        <w:t>2023年度“三公”经费财政拨款支出决算为</w:t>
      </w:r>
      <w:r>
        <w:rPr>
          <w:rFonts w:ascii="仿宋" w:hAnsi="仿宋" w:eastAsia="仿宋"/>
          <w:b/>
          <w:sz w:val="32"/>
          <w:szCs w:val="32"/>
        </w:rPr>
        <w:t>37.62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w:t>
      </w:r>
      <w:r>
        <w:rPr>
          <w:rFonts w:hint="eastAsia" w:ascii="宋体" w:hAnsi="宋体" w:eastAsia="方正仿宋_GBK" w:cs="Times New Roman"/>
          <w:b w:val="0"/>
          <w:bCs w:val="0"/>
          <w:spacing w:val="0"/>
          <w:sz w:val="32"/>
          <w:szCs w:val="32"/>
          <w:shd w:val="clear" w:color="auto" w:fill="auto"/>
        </w:rPr>
        <w:t>与年初预算数</w:t>
      </w:r>
      <w:r>
        <w:rPr>
          <w:rFonts w:hint="eastAsia" w:ascii="宋体" w:hAnsi="宋体" w:eastAsia="方正仿宋_GBK" w:cs="Times New Roman"/>
          <w:b w:val="0"/>
          <w:bCs w:val="0"/>
          <w:spacing w:val="0"/>
          <w:sz w:val="32"/>
          <w:szCs w:val="32"/>
          <w:shd w:val="clear" w:color="auto" w:fill="auto"/>
          <w:lang w:val="en-US" w:eastAsia="zh-CN"/>
        </w:rPr>
        <w:t>47.72</w:t>
      </w:r>
      <w:r>
        <w:rPr>
          <w:rFonts w:hint="eastAsia" w:ascii="宋体" w:hAnsi="宋体" w:eastAsia="方正仿宋_GBK" w:cs="Times New Roman"/>
          <w:b w:val="0"/>
          <w:bCs w:val="0"/>
          <w:spacing w:val="0"/>
          <w:sz w:val="32"/>
          <w:szCs w:val="32"/>
          <w:shd w:val="clear" w:color="auto" w:fill="auto"/>
        </w:rPr>
        <w:t>万元</w:t>
      </w:r>
      <w:r>
        <w:rPr>
          <w:rFonts w:hint="eastAsia" w:ascii="宋体" w:hAnsi="宋体" w:eastAsia="方正仿宋_GBK" w:cs="Times New Roman"/>
          <w:b w:val="0"/>
          <w:bCs w:val="0"/>
          <w:spacing w:val="0"/>
          <w:sz w:val="32"/>
          <w:szCs w:val="32"/>
          <w:shd w:val="clear" w:color="auto" w:fill="auto"/>
          <w:lang w:val="en-US" w:eastAsia="zh-CN"/>
        </w:rPr>
        <w:t>相比</w:t>
      </w:r>
      <w:r>
        <w:rPr>
          <w:rFonts w:hint="eastAsia" w:ascii="宋体" w:hAnsi="宋体" w:eastAsia="方正仿宋_GBK" w:cs="Times New Roman"/>
          <w:b w:val="0"/>
          <w:bCs w:val="0"/>
          <w:spacing w:val="0"/>
          <w:sz w:val="32"/>
          <w:szCs w:val="32"/>
          <w:shd w:val="clear" w:color="auto" w:fill="auto"/>
        </w:rPr>
        <w:t>减少</w:t>
      </w:r>
      <w:r>
        <w:rPr>
          <w:rFonts w:hint="eastAsia" w:ascii="宋体" w:hAnsi="宋体" w:eastAsia="方正仿宋_GBK" w:cs="Times New Roman"/>
          <w:b w:val="0"/>
          <w:bCs w:val="0"/>
          <w:spacing w:val="0"/>
          <w:sz w:val="32"/>
          <w:szCs w:val="32"/>
          <w:shd w:val="clear" w:color="auto" w:fill="auto"/>
          <w:lang w:val="en-US" w:eastAsia="zh-CN"/>
        </w:rPr>
        <w:t>10.1</w:t>
      </w:r>
      <w:r>
        <w:rPr>
          <w:rFonts w:hint="eastAsia" w:ascii="宋体" w:hAnsi="宋体" w:eastAsia="方正仿宋_GBK" w:cs="Times New Roman"/>
          <w:b w:val="0"/>
          <w:bCs w:val="0"/>
          <w:spacing w:val="0"/>
          <w:sz w:val="32"/>
          <w:szCs w:val="32"/>
          <w:shd w:val="clear" w:color="auto" w:fill="auto"/>
        </w:rPr>
        <w:t>万元，减少</w:t>
      </w:r>
      <w:r>
        <w:rPr>
          <w:rFonts w:hint="eastAsia" w:ascii="宋体" w:hAnsi="宋体" w:eastAsia="方正仿宋_GBK" w:cs="Times New Roman"/>
          <w:b w:val="0"/>
          <w:bCs w:val="0"/>
          <w:spacing w:val="0"/>
          <w:sz w:val="32"/>
          <w:szCs w:val="32"/>
          <w:shd w:val="clear" w:color="auto" w:fill="auto"/>
          <w:lang w:val="en-US" w:eastAsia="zh-CN"/>
        </w:rPr>
        <w:t>21</w:t>
      </w:r>
      <w:r>
        <w:rPr>
          <w:rFonts w:hint="eastAsia" w:ascii="宋体" w:hAnsi="宋体" w:eastAsia="方正仿宋_GBK" w:cs="Times New Roman"/>
          <w:b w:val="0"/>
          <w:bCs w:val="0"/>
          <w:spacing w:val="0"/>
          <w:sz w:val="32"/>
          <w:szCs w:val="32"/>
          <w:shd w:val="clear" w:color="auto" w:fill="auto"/>
        </w:rPr>
        <w:t>.</w:t>
      </w:r>
      <w:r>
        <w:rPr>
          <w:rFonts w:hint="eastAsia" w:ascii="宋体" w:hAnsi="宋体" w:eastAsia="方正仿宋_GBK" w:cs="Times New Roman"/>
          <w:b w:val="0"/>
          <w:bCs w:val="0"/>
          <w:spacing w:val="0"/>
          <w:sz w:val="32"/>
          <w:szCs w:val="32"/>
          <w:shd w:val="clear" w:color="auto" w:fill="auto"/>
          <w:lang w:val="en-US" w:eastAsia="zh-CN"/>
        </w:rPr>
        <w:t>16</w:t>
      </w:r>
      <w:r>
        <w:rPr>
          <w:rFonts w:hint="eastAsia" w:ascii="宋体" w:hAnsi="宋体" w:eastAsia="方正仿宋_GBK" w:cs="Times New Roman"/>
          <w:b w:val="0"/>
          <w:bCs w:val="0"/>
          <w:spacing w:val="0"/>
          <w:sz w:val="32"/>
          <w:szCs w:val="32"/>
          <w:shd w:val="clear" w:color="auto" w:fill="auto"/>
        </w:rPr>
        <w:t>%；</w:t>
      </w:r>
      <w:r>
        <w:rPr>
          <w:rFonts w:hint="eastAsia" w:ascii="仿宋" w:hAnsi="仿宋" w:eastAsia="仿宋"/>
          <w:sz w:val="32"/>
          <w:szCs w:val="32"/>
        </w:rPr>
        <w:t>较上年度</w:t>
      </w:r>
      <w:r>
        <w:rPr>
          <w:rFonts w:hint="eastAsia" w:ascii="仿宋" w:hAnsi="仿宋" w:eastAsia="仿宋"/>
          <w:sz w:val="32"/>
          <w:szCs w:val="32"/>
          <w:lang w:val="en-US" w:eastAsia="zh-CN"/>
        </w:rPr>
        <w:t>39.24万元</w:t>
      </w:r>
      <w:r>
        <w:rPr>
          <w:rFonts w:hint="eastAsia" w:ascii="仿宋" w:hAnsi="仿宋" w:eastAsia="仿宋"/>
          <w:sz w:val="32"/>
          <w:szCs w:val="32"/>
        </w:rPr>
        <w:t>减少</w:t>
      </w:r>
      <w:r>
        <w:rPr>
          <w:rFonts w:hint="eastAsia" w:ascii="仿宋" w:hAnsi="仿宋" w:eastAsia="仿宋"/>
          <w:sz w:val="32"/>
          <w:szCs w:val="32"/>
          <w:lang w:val="en-US" w:eastAsia="zh-CN"/>
        </w:rPr>
        <w:t>1.62</w:t>
      </w:r>
      <w:r>
        <w:rPr>
          <w:rFonts w:hint="eastAsia" w:ascii="仿宋" w:hAnsi="仿宋" w:eastAsia="仿宋"/>
          <w:sz w:val="32"/>
          <w:szCs w:val="32"/>
        </w:rPr>
        <w:t>万元，下降</w:t>
      </w:r>
      <w:r>
        <w:rPr>
          <w:rFonts w:hint="eastAsia" w:ascii="仿宋" w:hAnsi="仿宋" w:eastAsia="仿宋"/>
          <w:sz w:val="32"/>
          <w:szCs w:val="32"/>
          <w:lang w:val="en-US" w:eastAsia="zh-CN"/>
        </w:rPr>
        <w:t>4.13</w:t>
      </w:r>
      <w:r>
        <w:rPr>
          <w:rFonts w:hint="eastAsia" w:ascii="仿宋" w:hAnsi="仿宋" w:eastAsia="仿宋"/>
          <w:sz w:val="32"/>
          <w:szCs w:val="32"/>
        </w:rPr>
        <w:t>%。主要原因是</w:t>
      </w:r>
      <w:r>
        <w:rPr>
          <w:rFonts w:hint="eastAsia" w:ascii="仿宋" w:hAnsi="仿宋" w:eastAsia="仿宋"/>
          <w:sz w:val="32"/>
          <w:szCs w:val="32"/>
          <w:lang w:val="en-US" w:eastAsia="zh-CN"/>
        </w:rPr>
        <w:t>厉行节约，严控“三公经费”支出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48"/>
    </w:p>
    <w:p>
      <w:pPr>
        <w:spacing w:line="600" w:lineRule="exact"/>
        <w:ind w:firstLine="645"/>
        <w:rPr>
          <w:rFonts w:hint="eastAsia"/>
          <w:lang w:val="en-US" w:eastAsia="zh-CN"/>
        </w:rPr>
      </w:pPr>
      <w:r>
        <w:rPr>
          <w:rFonts w:hint="eastAsia" w:eastAsia="仿宋"/>
          <w:lang w:eastAsia="zh-CN"/>
        </w:rPr>
        <w:drawing>
          <wp:anchor distT="0" distB="0" distL="114300" distR="114300" simplePos="0" relativeHeight="251666432" behindDoc="0" locked="0" layoutInCell="1" allowOverlap="1">
            <wp:simplePos x="0" y="0"/>
            <wp:positionH relativeFrom="column">
              <wp:posOffset>612140</wp:posOffset>
            </wp:positionH>
            <wp:positionV relativeFrom="page">
              <wp:posOffset>7033260</wp:posOffset>
            </wp:positionV>
            <wp:extent cx="4319905" cy="2339975"/>
            <wp:effectExtent l="4445" t="4445" r="6350" b="50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lang w:val="en-US" w:eastAsia="zh-CN"/>
        </w:rPr>
        <w:t>2023年度“三公”经费财政拨款支出决算中，因公出国（境）费支出决算0万元，占0%；公务用车购置及运行维护费支出决算34.87万元，占92.69%；公务接待费支出决算2.75万元，占7.31%。具体情况如下：</w:t>
      </w:r>
    </w:p>
    <w:p>
      <w:pPr>
        <w:spacing w:line="600" w:lineRule="exact"/>
        <w:jc w:val="center"/>
        <w:rPr>
          <w:rFonts w:ascii="仿宋" w:hAnsi="仿宋" w:eastAsia="仿宋"/>
          <w:sz w:val="32"/>
          <w:szCs w:val="32"/>
        </w:rPr>
      </w:pPr>
      <w:r>
        <w:rPr>
          <w:rFonts w:hint="eastAsia" w:ascii="仿宋" w:hAnsi="仿宋" w:eastAsia="仿宋"/>
          <w:sz w:val="32"/>
          <w:szCs w:val="32"/>
        </w:rPr>
        <w:t>（图7：“三公”经费财政拨款支出结构）</w:t>
      </w:r>
    </w:p>
    <w:p>
      <w:pPr>
        <w:numPr>
          <w:ilvl w:val="0"/>
          <w:numId w:val="0"/>
        </w:numPr>
        <w:spacing w:line="60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ascii="仿宋" w:hAnsi="仿宋" w:eastAsia="仿宋"/>
          <w:bCs/>
          <w:sz w:val="32"/>
          <w:szCs w:val="32"/>
        </w:rPr>
        <w:t>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numPr>
          <w:ilvl w:val="0"/>
          <w:numId w:val="0"/>
        </w:num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34.87</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ascii="仿宋" w:hAnsi="仿宋" w:eastAsia="仿宋"/>
          <w:bCs/>
          <w:sz w:val="32"/>
          <w:szCs w:val="32"/>
        </w:rPr>
        <w:t>100</w:t>
      </w:r>
      <w:r>
        <w:rPr>
          <w:rStyle w:val="20"/>
          <w:rFonts w:ascii="仿宋" w:hAnsi="仿宋" w:eastAsia="仿宋"/>
          <w:b w:val="0"/>
          <w:bCs/>
          <w:sz w:val="32"/>
          <w:szCs w:val="32"/>
        </w:rPr>
        <w:t>%</w:t>
      </w:r>
      <w:r>
        <w:rPr>
          <w:rStyle w:val="20"/>
          <w:rFonts w:hint="eastAsia" w:ascii="仿宋" w:hAnsi="仿宋" w:eastAsia="仿宋"/>
          <w:b w:val="0"/>
          <w:bCs/>
          <w:sz w:val="32"/>
          <w:szCs w:val="32"/>
        </w:rPr>
        <w:t>。</w:t>
      </w:r>
      <w:r>
        <w:rPr>
          <w:rFonts w:hint="eastAsia" w:ascii="宋体" w:hAnsi="宋体" w:eastAsia="方正仿宋_GBK" w:cs="Times New Roman"/>
          <w:b w:val="0"/>
          <w:bCs w:val="0"/>
          <w:spacing w:val="0"/>
          <w:sz w:val="32"/>
          <w:szCs w:val="32"/>
          <w:shd w:val="clear" w:color="auto" w:fill="auto"/>
        </w:rPr>
        <w:t>比年初预算数</w:t>
      </w:r>
      <w:r>
        <w:rPr>
          <w:rFonts w:hint="eastAsia" w:ascii="宋体" w:hAnsi="宋体" w:eastAsia="方正仿宋_GBK" w:cs="Times New Roman"/>
          <w:b w:val="0"/>
          <w:bCs w:val="0"/>
          <w:spacing w:val="0"/>
          <w:sz w:val="32"/>
          <w:szCs w:val="32"/>
          <w:shd w:val="clear" w:color="auto" w:fill="auto"/>
          <w:lang w:val="en-US" w:eastAsia="zh-CN"/>
        </w:rPr>
        <w:t>35万元</w:t>
      </w:r>
      <w:r>
        <w:rPr>
          <w:rFonts w:hint="eastAsia" w:ascii="宋体" w:hAnsi="宋体" w:eastAsia="方正仿宋_GBK" w:cs="Times New Roman"/>
          <w:b w:val="0"/>
          <w:bCs w:val="0"/>
          <w:spacing w:val="0"/>
          <w:sz w:val="32"/>
          <w:szCs w:val="32"/>
          <w:shd w:val="clear" w:color="auto" w:fill="auto"/>
        </w:rPr>
        <w:t>减少</w:t>
      </w:r>
      <w:r>
        <w:rPr>
          <w:rFonts w:hint="eastAsia" w:ascii="宋体" w:hAnsi="宋体" w:eastAsia="方正仿宋_GBK" w:cs="Times New Roman"/>
          <w:b w:val="0"/>
          <w:bCs w:val="0"/>
          <w:spacing w:val="0"/>
          <w:sz w:val="32"/>
          <w:szCs w:val="32"/>
          <w:shd w:val="clear" w:color="auto" w:fill="auto"/>
          <w:lang w:val="en-US" w:eastAsia="zh-CN"/>
        </w:rPr>
        <w:t>0.13</w:t>
      </w:r>
      <w:r>
        <w:rPr>
          <w:rFonts w:hint="eastAsia" w:ascii="宋体" w:hAnsi="宋体" w:eastAsia="方正仿宋_GBK" w:cs="Times New Roman"/>
          <w:b w:val="0"/>
          <w:bCs w:val="0"/>
          <w:spacing w:val="0"/>
          <w:sz w:val="32"/>
          <w:szCs w:val="32"/>
          <w:shd w:val="clear" w:color="auto" w:fill="auto"/>
        </w:rPr>
        <w:t>万元，减少</w:t>
      </w:r>
      <w:r>
        <w:rPr>
          <w:rFonts w:hint="eastAsia" w:ascii="宋体" w:hAnsi="宋体" w:eastAsia="方正仿宋_GBK" w:cs="Times New Roman"/>
          <w:b w:val="0"/>
          <w:bCs w:val="0"/>
          <w:spacing w:val="0"/>
          <w:sz w:val="32"/>
          <w:szCs w:val="32"/>
          <w:shd w:val="clear" w:color="auto" w:fill="auto"/>
          <w:lang w:val="en-US" w:eastAsia="zh-CN"/>
        </w:rPr>
        <w:t>0.37</w:t>
      </w:r>
      <w:r>
        <w:rPr>
          <w:rFonts w:hint="eastAsia" w:ascii="宋体" w:hAnsi="宋体" w:eastAsia="方正仿宋_GBK" w:cs="Times New Roman"/>
          <w:b w:val="0"/>
          <w:bCs w:val="0"/>
          <w:spacing w:val="0"/>
          <w:sz w:val="32"/>
          <w:szCs w:val="32"/>
          <w:shd w:val="clear" w:color="auto" w:fill="auto"/>
        </w:rPr>
        <w:t>%</w:t>
      </w:r>
      <w:r>
        <w:rPr>
          <w:rFonts w:hint="eastAsia" w:ascii="宋体" w:hAnsi="宋体" w:eastAsia="方正仿宋_GBK" w:cs="Times New Roman"/>
          <w:b w:val="0"/>
          <w:bCs w:val="0"/>
          <w:spacing w:val="0"/>
          <w:sz w:val="32"/>
          <w:szCs w:val="32"/>
          <w:shd w:val="clear" w:color="auto" w:fill="auto"/>
          <w:lang w:eastAsia="zh-CN"/>
        </w:rPr>
        <w:t>，</w:t>
      </w:r>
      <w:r>
        <w:rPr>
          <w:rFonts w:hint="eastAsia" w:ascii="仿宋_GB2312" w:eastAsia="仿宋_GB2312"/>
          <w:sz w:val="32"/>
          <w:szCs w:val="32"/>
        </w:rPr>
        <w:t>比2022年度</w:t>
      </w:r>
      <w:r>
        <w:rPr>
          <w:rFonts w:hint="eastAsia" w:ascii="仿宋_GB2312" w:eastAsia="仿宋_GB2312"/>
          <w:sz w:val="32"/>
          <w:szCs w:val="32"/>
          <w:lang w:val="en-US" w:eastAsia="zh-CN"/>
        </w:rPr>
        <w:t>34.31万元</w:t>
      </w:r>
      <w:r>
        <w:rPr>
          <w:rFonts w:hint="eastAsia" w:ascii="仿宋_GB2312" w:eastAsia="仿宋_GB2312"/>
          <w:sz w:val="32"/>
          <w:szCs w:val="32"/>
        </w:rPr>
        <w:t>增加</w:t>
      </w:r>
      <w:r>
        <w:rPr>
          <w:rFonts w:hint="eastAsia" w:ascii="仿宋_GB2312" w:eastAsia="仿宋_GB2312"/>
          <w:sz w:val="32"/>
          <w:szCs w:val="32"/>
          <w:lang w:val="en-US" w:eastAsia="zh-CN"/>
        </w:rPr>
        <w:t>0.56</w:t>
      </w:r>
      <w:r>
        <w:rPr>
          <w:rFonts w:hint="eastAsia" w:ascii="仿宋_GB2312" w:eastAsia="仿宋_GB2312"/>
          <w:sz w:val="32"/>
          <w:szCs w:val="32"/>
        </w:rPr>
        <w:t>万元，增长</w:t>
      </w:r>
      <w:r>
        <w:rPr>
          <w:rFonts w:hint="eastAsia" w:ascii="仿宋_GB2312" w:eastAsia="仿宋_GB2312"/>
          <w:sz w:val="32"/>
          <w:szCs w:val="32"/>
          <w:lang w:val="en-US" w:eastAsia="zh-CN"/>
        </w:rPr>
        <w:t>1.63</w:t>
      </w:r>
      <w:r>
        <w:rPr>
          <w:rFonts w:ascii="仿宋_GB2312" w:eastAsia="仿宋_GB2312"/>
          <w:sz w:val="32"/>
          <w:szCs w:val="32"/>
        </w:rPr>
        <w:t>%</w:t>
      </w:r>
      <w:r>
        <w:rPr>
          <w:rFonts w:hint="eastAsia" w:ascii="仿宋_GB2312" w:eastAsia="仿宋_GB2312"/>
          <w:sz w:val="32"/>
          <w:szCs w:val="32"/>
        </w:rPr>
        <w:t>。主要原因是</w:t>
      </w:r>
      <w:r>
        <w:rPr>
          <w:rFonts w:hint="eastAsia" w:ascii="宋体" w:hAnsi="宋体" w:eastAsia="方正仿宋_GBK" w:cs="方正仿宋_GBK"/>
          <w:sz w:val="32"/>
          <w:szCs w:val="32"/>
          <w:lang w:val="en-US" w:eastAsia="zh-CN"/>
        </w:rPr>
        <w:t>本年因办理大案要案数量增加，导致过路费、油费及维修费等公车运行费用增长</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7</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2</w:t>
      </w:r>
      <w:r>
        <w:rPr>
          <w:rFonts w:hint="eastAsia" w:ascii="仿宋_GB2312" w:eastAsia="仿宋_GB2312"/>
          <w:sz w:val="32"/>
          <w:szCs w:val="32"/>
        </w:rPr>
        <w:t>辆、</w:t>
      </w:r>
      <w:r>
        <w:rPr>
          <w:rFonts w:hint="eastAsia" w:ascii="宋体" w:hAnsi="宋体" w:eastAsia="方正仿宋_GBK" w:cs="方正仿宋_GBK"/>
          <w:sz w:val="32"/>
          <w:szCs w:val="32"/>
          <w:lang w:val="zh-CN"/>
        </w:rPr>
        <w:t>其他车型</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lang w:val="zh-CN"/>
        </w:rPr>
        <w:t>辆。</w:t>
      </w:r>
    </w:p>
    <w:p>
      <w:pPr>
        <w:spacing w:beforeLines="0" w:afterLines="0" w:line="580" w:lineRule="exact"/>
        <w:ind w:firstLine="643" w:firstLineChars="200"/>
        <w:jc w:val="both"/>
        <w:rPr>
          <w:rFonts w:hint="eastAsia" w:ascii="宋体" w:hAnsi="宋体" w:eastAsia="方正仿宋_GBK" w:cs="方正仿宋_GBK"/>
          <w:sz w:val="32"/>
          <w:szCs w:val="32"/>
          <w:lang w:val="zh-CN"/>
        </w:rPr>
      </w:pPr>
      <w:r>
        <w:rPr>
          <w:rFonts w:hint="eastAsia" w:ascii="仿宋_GB2312" w:eastAsia="仿宋_GB2312"/>
          <w:b/>
          <w:sz w:val="32"/>
          <w:szCs w:val="32"/>
        </w:rPr>
        <w:t>公务用车运行维护费支出</w:t>
      </w:r>
      <w:r>
        <w:rPr>
          <w:rFonts w:ascii="仿宋" w:hAnsi="仿宋" w:eastAsia="仿宋"/>
          <w:b/>
          <w:sz w:val="32"/>
          <w:szCs w:val="32"/>
        </w:rPr>
        <w:t>34.87</w:t>
      </w:r>
      <w:r>
        <w:rPr>
          <w:rFonts w:hint="eastAsia" w:ascii="仿宋_GB2312" w:eastAsia="仿宋_GB2312"/>
          <w:sz w:val="32"/>
          <w:szCs w:val="32"/>
        </w:rPr>
        <w:t>万元。主要用于</w:t>
      </w:r>
      <w:r>
        <w:rPr>
          <w:rFonts w:hint="eastAsia" w:ascii="宋体" w:hAnsi="宋体" w:eastAsia="方正仿宋_GBK" w:cs="方正仿宋_GBK"/>
          <w:sz w:val="32"/>
          <w:szCs w:val="32"/>
          <w:lang w:val="zh-CN"/>
        </w:rPr>
        <w:t>用于案件查办巡察和执纪监督等所需的公务用车燃料费、维修费、过路过桥费、保险费等支出。</w:t>
      </w:r>
    </w:p>
    <w:p>
      <w:pPr>
        <w:numPr>
          <w:ilvl w:val="0"/>
          <w:numId w:val="0"/>
        </w:numPr>
        <w:spacing w:line="600" w:lineRule="exact"/>
        <w:ind w:firstLine="643" w:firstLineChars="200"/>
        <w:rPr>
          <w:rFonts w:hint="eastAsia" w:ascii="仿宋" w:hAnsi="仿宋" w:eastAsia="仿宋"/>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公务接待费支出</w:t>
      </w:r>
      <w:r>
        <w:rPr>
          <w:rFonts w:ascii="仿宋" w:hAnsi="仿宋" w:eastAsia="仿宋"/>
          <w:b/>
          <w:sz w:val="32"/>
          <w:szCs w:val="32"/>
        </w:rPr>
        <w:t>2.75</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ascii="仿宋" w:hAnsi="仿宋" w:eastAsia="仿宋"/>
          <w:b w:val="0"/>
          <w:bCs/>
          <w:sz w:val="32"/>
          <w:szCs w:val="32"/>
        </w:rPr>
        <w:t>100%</w:t>
      </w:r>
      <w:r>
        <w:rPr>
          <w:rStyle w:val="20"/>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数</w:t>
      </w:r>
      <w:r>
        <w:rPr>
          <w:rFonts w:hint="eastAsia" w:ascii="宋体" w:hAnsi="宋体" w:eastAsia="方正仿宋_GBK" w:cs="Times New Roman"/>
          <w:b w:val="0"/>
          <w:bCs w:val="0"/>
          <w:spacing w:val="0"/>
          <w:sz w:val="32"/>
          <w:szCs w:val="32"/>
          <w:shd w:val="clear" w:color="auto" w:fill="auto"/>
        </w:rPr>
        <w:t>与年初预算数</w:t>
      </w:r>
      <w:r>
        <w:rPr>
          <w:rFonts w:hint="eastAsia" w:ascii="宋体" w:hAnsi="宋体" w:eastAsia="方正仿宋_GBK" w:cs="Times New Roman"/>
          <w:b w:val="0"/>
          <w:bCs w:val="0"/>
          <w:spacing w:val="0"/>
          <w:sz w:val="32"/>
          <w:szCs w:val="32"/>
          <w:shd w:val="clear" w:color="auto" w:fill="auto"/>
          <w:lang w:val="en-US" w:eastAsia="zh-CN"/>
        </w:rPr>
        <w:t>12.72</w:t>
      </w:r>
      <w:r>
        <w:rPr>
          <w:rFonts w:hint="eastAsia" w:ascii="宋体" w:hAnsi="宋体" w:eastAsia="方正仿宋_GBK" w:cs="Times New Roman"/>
          <w:b w:val="0"/>
          <w:bCs w:val="0"/>
          <w:spacing w:val="0"/>
          <w:sz w:val="32"/>
          <w:szCs w:val="32"/>
          <w:shd w:val="clear" w:color="auto" w:fill="auto"/>
        </w:rPr>
        <w:t>万元相比减少</w:t>
      </w:r>
      <w:r>
        <w:rPr>
          <w:rFonts w:hint="eastAsia" w:ascii="宋体" w:hAnsi="宋体" w:eastAsia="方正仿宋_GBK" w:cs="Times New Roman"/>
          <w:b w:val="0"/>
          <w:bCs w:val="0"/>
          <w:spacing w:val="0"/>
          <w:sz w:val="32"/>
          <w:szCs w:val="32"/>
          <w:shd w:val="clear" w:color="auto" w:fill="auto"/>
          <w:lang w:val="en-US" w:eastAsia="zh-CN"/>
        </w:rPr>
        <w:t>9.97</w:t>
      </w:r>
      <w:r>
        <w:rPr>
          <w:rFonts w:hint="eastAsia" w:ascii="宋体" w:hAnsi="宋体" w:eastAsia="方正仿宋_GBK" w:cs="Times New Roman"/>
          <w:b w:val="0"/>
          <w:bCs w:val="0"/>
          <w:spacing w:val="0"/>
          <w:sz w:val="32"/>
          <w:szCs w:val="32"/>
          <w:shd w:val="clear" w:color="auto" w:fill="auto"/>
        </w:rPr>
        <w:t>万元，减少</w:t>
      </w:r>
      <w:r>
        <w:rPr>
          <w:rFonts w:hint="eastAsia" w:ascii="宋体" w:hAnsi="宋体" w:eastAsia="方正仿宋_GBK" w:cs="Times New Roman"/>
          <w:b w:val="0"/>
          <w:bCs w:val="0"/>
          <w:spacing w:val="0"/>
          <w:sz w:val="32"/>
          <w:szCs w:val="32"/>
          <w:shd w:val="clear" w:color="auto" w:fill="auto"/>
          <w:lang w:val="en-US" w:eastAsia="zh-CN"/>
        </w:rPr>
        <w:t>78.38</w:t>
      </w:r>
      <w:r>
        <w:rPr>
          <w:rFonts w:hint="eastAsia" w:ascii="宋体" w:hAnsi="宋体" w:eastAsia="方正仿宋_GBK" w:cs="Times New Roman"/>
          <w:b w:val="0"/>
          <w:bCs w:val="0"/>
          <w:spacing w:val="0"/>
          <w:sz w:val="32"/>
          <w:szCs w:val="32"/>
          <w:shd w:val="clear" w:color="auto" w:fill="auto"/>
        </w:rPr>
        <w:t>%，与上年度</w:t>
      </w:r>
      <w:r>
        <w:rPr>
          <w:rFonts w:hint="eastAsia" w:ascii="宋体" w:hAnsi="宋体" w:eastAsia="方正仿宋_GBK" w:cs="Times New Roman"/>
          <w:b w:val="0"/>
          <w:bCs w:val="0"/>
          <w:spacing w:val="0"/>
          <w:sz w:val="32"/>
          <w:szCs w:val="32"/>
          <w:shd w:val="clear" w:color="auto" w:fill="auto"/>
          <w:lang w:val="en-US" w:eastAsia="zh-CN"/>
        </w:rPr>
        <w:t>4.93</w:t>
      </w:r>
      <w:r>
        <w:rPr>
          <w:rFonts w:hint="eastAsia" w:ascii="宋体" w:hAnsi="宋体" w:eastAsia="方正仿宋_GBK" w:cs="Times New Roman"/>
          <w:b w:val="0"/>
          <w:bCs w:val="0"/>
          <w:spacing w:val="0"/>
          <w:sz w:val="32"/>
          <w:szCs w:val="32"/>
          <w:shd w:val="clear" w:color="auto" w:fill="auto"/>
        </w:rPr>
        <w:t>万元相比减少</w:t>
      </w:r>
      <w:r>
        <w:rPr>
          <w:rFonts w:hint="eastAsia" w:ascii="宋体" w:hAnsi="宋体" w:eastAsia="方正仿宋_GBK" w:cs="Times New Roman"/>
          <w:b w:val="0"/>
          <w:bCs w:val="0"/>
          <w:spacing w:val="0"/>
          <w:sz w:val="32"/>
          <w:szCs w:val="32"/>
          <w:shd w:val="clear" w:color="auto" w:fill="auto"/>
          <w:lang w:val="en-US" w:eastAsia="zh-CN"/>
        </w:rPr>
        <w:t>2.18</w:t>
      </w:r>
      <w:r>
        <w:rPr>
          <w:rFonts w:hint="eastAsia" w:ascii="宋体" w:hAnsi="宋体" w:eastAsia="方正仿宋_GBK" w:cs="Times New Roman"/>
          <w:b w:val="0"/>
          <w:bCs w:val="0"/>
          <w:spacing w:val="0"/>
          <w:sz w:val="32"/>
          <w:szCs w:val="32"/>
          <w:shd w:val="clear" w:color="auto" w:fill="auto"/>
        </w:rPr>
        <w:t>万元，减少</w:t>
      </w:r>
      <w:r>
        <w:rPr>
          <w:rFonts w:hint="eastAsia" w:ascii="宋体" w:hAnsi="宋体" w:eastAsia="方正仿宋_GBK" w:cs="Times New Roman"/>
          <w:b w:val="0"/>
          <w:bCs w:val="0"/>
          <w:spacing w:val="0"/>
          <w:sz w:val="32"/>
          <w:szCs w:val="32"/>
          <w:shd w:val="clear" w:color="auto" w:fill="auto"/>
          <w:lang w:val="en-US" w:eastAsia="zh-CN"/>
        </w:rPr>
        <w:t>44.22</w:t>
      </w:r>
      <w:r>
        <w:rPr>
          <w:rFonts w:hint="eastAsia" w:ascii="宋体" w:hAnsi="宋体" w:eastAsia="方正仿宋_GBK" w:cs="Times New Roman"/>
          <w:b w:val="0"/>
          <w:bCs w:val="0"/>
          <w:spacing w:val="0"/>
          <w:sz w:val="32"/>
          <w:szCs w:val="32"/>
          <w:shd w:val="clear" w:color="auto" w:fill="auto"/>
        </w:rPr>
        <w:t>%。</w:t>
      </w:r>
      <w:r>
        <w:rPr>
          <w:rFonts w:hint="eastAsia" w:ascii="仿宋_GB2312" w:eastAsia="仿宋_GB2312"/>
          <w:sz w:val="32"/>
          <w:szCs w:val="32"/>
        </w:rPr>
        <w:t>主要原因是</w:t>
      </w:r>
      <w:r>
        <w:rPr>
          <w:rFonts w:hint="eastAsia" w:ascii="仿宋" w:hAnsi="仿宋" w:eastAsia="仿宋"/>
          <w:sz w:val="32"/>
          <w:szCs w:val="32"/>
          <w:lang w:val="en-US" w:eastAsia="zh-CN"/>
        </w:rPr>
        <w:t>厉行节约，严控公务接待支出</w:t>
      </w:r>
      <w:r>
        <w:rPr>
          <w:rFonts w:hint="eastAsia" w:ascii="仿宋" w:hAnsi="仿宋" w:eastAsia="仿宋"/>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lang w:val="en-US" w:eastAsia="zh-CN"/>
        </w:rPr>
        <w:t>4.</w:t>
      </w:r>
      <w:r>
        <w:rPr>
          <w:rFonts w:hint="eastAsia" w:ascii="仿宋" w:hAnsi="仿宋" w:eastAsia="仿宋"/>
          <w:b/>
          <w:sz w:val="32"/>
          <w:szCs w:val="32"/>
        </w:rPr>
        <w:t>国内公务接待支出</w:t>
      </w:r>
      <w:r>
        <w:rPr>
          <w:rFonts w:ascii="仿宋" w:hAnsi="仿宋" w:eastAsia="仿宋"/>
          <w:b/>
          <w:sz w:val="32"/>
          <w:szCs w:val="32"/>
        </w:rPr>
        <w:t>2.75</w:t>
      </w:r>
      <w:r>
        <w:rPr>
          <w:rFonts w:hint="eastAsia" w:ascii="仿宋_GB2312" w:eastAsia="仿宋_GB2312"/>
          <w:sz w:val="32"/>
          <w:szCs w:val="32"/>
        </w:rPr>
        <w:t>万元，</w:t>
      </w:r>
      <w:r>
        <w:rPr>
          <w:rFonts w:hint="eastAsia" w:ascii="宋体" w:hAnsi="宋体" w:eastAsia="方正仿宋_GBK" w:cs="方正仿宋_GBK"/>
          <w:sz w:val="32"/>
          <w:szCs w:val="32"/>
          <w:lang w:val="zh-CN"/>
        </w:rPr>
        <w:t>主要用于上级纪检监察部门巡视巡察部门执行公务、开展业务活动开支的交通费、住宿费、用餐费</w:t>
      </w:r>
      <w:r>
        <w:rPr>
          <w:rFonts w:hint="eastAsia" w:ascii="宋体" w:hAnsi="宋体" w:eastAsia="方正仿宋_GBK" w:cs="方正仿宋_GBK"/>
          <w:sz w:val="32"/>
          <w:szCs w:val="32"/>
          <w:lang w:val="en-US"/>
        </w:rPr>
        <w:t>。</w:t>
      </w:r>
      <w:r>
        <w:rPr>
          <w:rFonts w:hint="eastAsia" w:ascii="宋体" w:hAnsi="宋体" w:eastAsia="方正仿宋_GBK" w:cs="方正仿宋_GBK"/>
          <w:sz w:val="32"/>
          <w:szCs w:val="32"/>
          <w:lang w:val="zh-CN"/>
        </w:rPr>
        <w:t>国内公务接待</w:t>
      </w:r>
      <w:r>
        <w:rPr>
          <w:rFonts w:hint="eastAsia" w:ascii="宋体" w:hAnsi="宋体" w:eastAsia="方正仿宋_GBK" w:cs="方正仿宋_GBK"/>
          <w:sz w:val="32"/>
          <w:szCs w:val="32"/>
          <w:lang w:val="en-US" w:eastAsia="zh-CN"/>
        </w:rPr>
        <w:t>34</w:t>
      </w:r>
      <w:r>
        <w:rPr>
          <w:rFonts w:hint="eastAsia" w:ascii="宋体" w:hAnsi="宋体" w:eastAsia="方正仿宋_GBK" w:cs="方正仿宋_GBK"/>
          <w:sz w:val="32"/>
          <w:szCs w:val="32"/>
          <w:lang w:val="zh-CN"/>
        </w:rPr>
        <w:t>批次，</w:t>
      </w:r>
      <w:r>
        <w:rPr>
          <w:rFonts w:hint="eastAsia" w:ascii="宋体" w:hAnsi="宋体" w:eastAsia="方正仿宋_GBK" w:cs="方正仿宋_GBK"/>
          <w:sz w:val="32"/>
          <w:szCs w:val="32"/>
          <w:lang w:val="en-US" w:eastAsia="zh-CN"/>
        </w:rPr>
        <w:t>296</w:t>
      </w:r>
      <w:r>
        <w:rPr>
          <w:rFonts w:hint="eastAsia" w:ascii="宋体" w:hAnsi="宋体" w:eastAsia="方正仿宋_GBK" w:cs="方正仿宋_GBK"/>
          <w:sz w:val="32"/>
          <w:szCs w:val="32"/>
          <w:lang w:val="zh-CN"/>
        </w:rPr>
        <w:t>人次，共计支出</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val="zh-CN"/>
        </w:rPr>
        <w:t>.</w:t>
      </w:r>
      <w:r>
        <w:rPr>
          <w:rFonts w:hint="eastAsia" w:ascii="宋体" w:hAnsi="宋体" w:eastAsia="方正仿宋_GBK" w:cs="方正仿宋_GBK"/>
          <w:sz w:val="32"/>
          <w:szCs w:val="32"/>
          <w:lang w:val="en-US" w:eastAsia="zh-CN"/>
        </w:rPr>
        <w:t>75</w:t>
      </w:r>
      <w:r>
        <w:rPr>
          <w:rFonts w:hint="eastAsia" w:ascii="宋体" w:hAnsi="宋体" w:eastAsia="方正仿宋_GBK" w:cs="方正仿宋_GBK"/>
          <w:sz w:val="32"/>
          <w:szCs w:val="32"/>
          <w:lang w:val="zh-CN"/>
        </w:rPr>
        <w:t>万元，具体内容包括一是省、市纪委开展督导及调研工作；二是其他县区纪委联系工作；三是其他省、市单位对接工作。</w:t>
      </w:r>
    </w:p>
    <w:p>
      <w:pPr>
        <w:spacing w:line="600" w:lineRule="exact"/>
        <w:ind w:firstLine="643" w:firstLineChars="200"/>
        <w:rPr>
          <w:rFonts w:ascii="黑体" w:eastAsia="黑体"/>
          <w:sz w:val="32"/>
          <w:szCs w:val="32"/>
        </w:rPr>
      </w:pPr>
      <w:bookmarkStart w:id="49" w:name="_Toc15396610"/>
      <w:bookmarkStart w:id="50" w:name="_Toc15377218"/>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Style w:val="4"/>
        <w:bidi w:val="0"/>
      </w:pPr>
      <w:bookmarkStart w:id="51" w:name="_Toc9534"/>
      <w:r>
        <w:rPr>
          <w:rFonts w:hint="eastAsia"/>
        </w:rPr>
        <w:t>八、政府性基金预算支出决算情况说明</w:t>
      </w:r>
      <w:bookmarkEnd w:id="49"/>
      <w:bookmarkEnd w:id="50"/>
      <w:bookmarkEnd w:id="5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sz w:val="32"/>
          <w:szCs w:val="32"/>
        </w:rPr>
        <w:t>28.18</w:t>
      </w:r>
      <w:r>
        <w:rPr>
          <w:rFonts w:hint="eastAsia" w:ascii="仿宋_GB2312" w:eastAsia="仿宋_GB2312"/>
          <w:sz w:val="32"/>
          <w:szCs w:val="32"/>
        </w:rPr>
        <w:t>万元。</w:t>
      </w:r>
    </w:p>
    <w:p>
      <w:pPr>
        <w:pStyle w:val="4"/>
        <w:bidi w:val="0"/>
      </w:pPr>
      <w:bookmarkStart w:id="52" w:name="_Toc13915"/>
      <w:bookmarkStart w:id="53" w:name="_Toc15396611"/>
      <w:bookmarkStart w:id="54" w:name="_Toc15377219"/>
      <w:r>
        <w:rPr>
          <w:rFonts w:hint="eastAsia"/>
          <w:lang w:val="en-US" w:eastAsia="zh-CN"/>
        </w:rPr>
        <w:t>九、</w:t>
      </w:r>
      <w:r>
        <w:rPr>
          <w:rFonts w:hint="eastAsia"/>
        </w:rPr>
        <w:t>国有资本经营预算支出决算情况说明</w:t>
      </w:r>
      <w:bookmarkEnd w:id="52"/>
      <w:bookmarkEnd w:id="53"/>
      <w:bookmarkEnd w:id="54"/>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pStyle w:val="4"/>
        <w:bidi w:val="0"/>
      </w:pPr>
      <w:bookmarkStart w:id="55" w:name="_Toc15396612"/>
      <w:bookmarkStart w:id="56" w:name="_Toc15377221"/>
      <w:bookmarkStart w:id="57" w:name="_Toc13512"/>
      <w:r>
        <w:rPr>
          <w:rFonts w:hint="eastAsia"/>
          <w:lang w:val="en-US" w:eastAsia="zh-CN"/>
        </w:rPr>
        <w:t>十、</w:t>
      </w:r>
      <w:r>
        <w:rPr>
          <w:rFonts w:hint="eastAsia"/>
        </w:rPr>
        <w:t>其他重要事项的情况说明</w:t>
      </w:r>
      <w:bookmarkEnd w:id="55"/>
      <w:bookmarkEnd w:id="56"/>
      <w:bookmarkEnd w:id="57"/>
    </w:p>
    <w:p>
      <w:pPr>
        <w:spacing w:line="600" w:lineRule="exact"/>
        <w:ind w:firstLine="643" w:firstLineChars="200"/>
        <w:outlineLvl w:val="2"/>
        <w:rPr>
          <w:rFonts w:ascii="仿宋" w:hAnsi="仿宋" w:eastAsia="仿宋"/>
          <w:sz w:val="32"/>
          <w:szCs w:val="32"/>
        </w:rPr>
      </w:pPr>
      <w:bookmarkStart w:id="58" w:name="_Toc15377222"/>
      <w:r>
        <w:rPr>
          <w:rFonts w:hint="eastAsia" w:ascii="仿宋" w:hAnsi="仿宋" w:eastAsia="仿宋"/>
          <w:b/>
          <w:sz w:val="32"/>
          <w:szCs w:val="32"/>
        </w:rPr>
        <w:t>（一）机关运行经费支出情况</w:t>
      </w:r>
      <w:bookmarkEnd w:id="58"/>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年度，中国共产党安岳县纪律检查委员会（本级）机关运行经费支出446.23万元，比2022年度399.66万元增加46.57万元，增长11.65%。主要原因：一是本年度较上年度工会经费、福利费增加；二是本年度较上年度人员增加导致机关运行经费相应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9" w:name="_Toc15377223"/>
      <w:r>
        <w:rPr>
          <w:rFonts w:hint="eastAsia" w:ascii="仿宋" w:hAnsi="仿宋" w:eastAsia="仿宋"/>
          <w:b/>
          <w:sz w:val="32"/>
          <w:szCs w:val="32"/>
        </w:rPr>
        <w:t>（二）政府采购支出情况</w:t>
      </w:r>
      <w:bookmarkEnd w:id="59"/>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度，中国共产党安岳县纪律检查委员会（本级）政府采购支出总额3.77万元，其中：政府采购货物支出3.77万元、政府采购工程支出0万元、政府采购服务支出0万元。主要用于购买谈话室同步录音录像设备所需的不间断电源。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0" w:name="_Toc15377224"/>
      <w:r>
        <w:rPr>
          <w:rFonts w:hint="eastAsia" w:ascii="仿宋" w:hAnsi="仿宋" w:eastAsia="仿宋"/>
          <w:b/>
          <w:sz w:val="32"/>
          <w:szCs w:val="32"/>
        </w:rPr>
        <w:t>（三）国有资产占有使用情况</w:t>
      </w:r>
      <w:bookmarkEnd w:id="60"/>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截至2023年12月31日，中国共产党安岳县纪律检查委员会共有车辆7辆，其中：主要领导干部用车0辆、机要通信用车0辆、应急保障用车0辆、其他用车7辆，其他用车主要是用于用于执法执勤。单价100万元以上设备（不含车辆）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根据预算绩效管理要求，本部门在2023年度预算编制阶段，组织对</w:t>
      </w:r>
      <w:r>
        <w:rPr>
          <w:rFonts w:hint="eastAsia" w:ascii="仿宋_GB2312" w:hAnsi="仿宋_GB2312" w:eastAsia="仿宋_GB2312" w:cs="仿宋_GB2312"/>
          <w:sz w:val="32"/>
          <w:szCs w:val="32"/>
          <w:lang w:val="en-US" w:eastAsia="zh-CN"/>
        </w:rPr>
        <w:t>县委巡察专项经费、</w:t>
      </w:r>
      <w:r>
        <w:rPr>
          <w:rFonts w:hint="eastAsia" w:ascii="仿宋_GB2312" w:eastAsia="仿宋_GB2312"/>
          <w:sz w:val="32"/>
          <w:szCs w:val="32"/>
          <w:lang w:val="en-US" w:eastAsia="zh-CN"/>
        </w:rPr>
        <w:t>县纪委办案专项经费</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年终预算执行完成后，</w:t>
      </w:r>
      <w:r>
        <w:rPr>
          <w:rFonts w:hint="eastAsia" w:ascii="仿宋_GB2312" w:hAnsi="仿宋_GB2312" w:eastAsia="仿宋_GB2312" w:cs="仿宋_GB2312"/>
          <w:sz w:val="32"/>
          <w:szCs w:val="32"/>
        </w:rPr>
        <w:t>组织对2023年度一般公共预算、政府性基金预算等全面开展绩效自评，形成</w:t>
      </w:r>
      <w:r>
        <w:rPr>
          <w:rFonts w:hint="eastAsia" w:ascii="仿宋_GB2312" w:hAnsi="仿宋_GB2312" w:eastAsia="仿宋_GB2312" w:cs="仿宋_GB2312"/>
          <w:sz w:val="32"/>
          <w:szCs w:val="32"/>
          <w:lang w:val="en-US" w:eastAsia="zh-CN"/>
        </w:rPr>
        <w:t>了中共安岳县纪律检查委员会</w:t>
      </w:r>
      <w:r>
        <w:rPr>
          <w:rFonts w:hint="eastAsia" w:ascii="仿宋_GB2312" w:hAnsi="仿宋_GB2312" w:eastAsia="仿宋_GB2312" w:cs="仿宋_GB2312"/>
          <w:sz w:val="32"/>
          <w:szCs w:val="32"/>
        </w:rPr>
        <w:t>部门整体</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绩效自评报告、</w:t>
      </w:r>
      <w:r>
        <w:rPr>
          <w:rFonts w:hint="eastAsia" w:ascii="仿宋_GB2312" w:hAnsi="仿宋_GB2312" w:eastAsia="仿宋_GB2312" w:cs="仿宋_GB2312"/>
          <w:sz w:val="32"/>
          <w:szCs w:val="32"/>
          <w:lang w:val="en-US" w:eastAsia="zh-CN"/>
        </w:rPr>
        <w:t>县委巡察专项经费、</w:t>
      </w:r>
      <w:r>
        <w:rPr>
          <w:rFonts w:hint="eastAsia" w:ascii="仿宋_GB2312" w:eastAsia="仿宋_GB2312"/>
          <w:sz w:val="32"/>
          <w:szCs w:val="32"/>
          <w:lang w:val="en-US" w:eastAsia="zh-CN"/>
        </w:rPr>
        <w:t>县纪委办案专项经费</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val="en-US" w:eastAsia="zh-CN"/>
        </w:rPr>
        <w:t>中共安岳县纪律检查委员会</w:t>
      </w:r>
      <w:r>
        <w:rPr>
          <w:rFonts w:hint="eastAsia" w:ascii="仿宋_GB2312" w:hAnsi="仿宋_GB2312" w:eastAsia="仿宋_GB2312" w:cs="仿宋_GB2312"/>
          <w:sz w:val="32"/>
          <w:szCs w:val="32"/>
        </w:rPr>
        <w:t>部门整体绩效自评得分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val="en-US" w:eastAsia="zh-CN"/>
        </w:rPr>
        <w:t>2023年部门整体支出预算编制全面、科学、合理，预算绩效管理规范，预算执行严格，履职效益明显，“三公经费”得到有效控制，尤其是公务接待呈现逐年下降趋势。县委巡察专项经费、</w:t>
      </w:r>
      <w:r>
        <w:rPr>
          <w:rFonts w:hint="eastAsia" w:ascii="仿宋_GB2312" w:eastAsia="仿宋_GB2312"/>
          <w:sz w:val="32"/>
          <w:szCs w:val="32"/>
          <w:lang w:val="en-US" w:eastAsia="zh-CN"/>
        </w:rPr>
        <w:t>县纪委办案专项经费等预算项目</w:t>
      </w:r>
      <w:r>
        <w:rPr>
          <w:rFonts w:hint="eastAsia" w:ascii="宋体" w:hAnsi="宋体" w:eastAsia="方正仿宋_GBK" w:cs="方正仿宋_GBK"/>
          <w:sz w:val="32"/>
          <w:szCs w:val="32"/>
          <w:lang w:val="en-US"/>
        </w:rPr>
        <w:t>实际完成情况与预期目标相符</w:t>
      </w:r>
      <w:r>
        <w:rPr>
          <w:rFonts w:hint="eastAsia" w:ascii="宋体" w:hAnsi="宋体" w:eastAsia="方正仿宋_GBK" w:cs="方正仿宋_GBK"/>
          <w:sz w:val="32"/>
          <w:szCs w:val="32"/>
          <w:lang w:val="en-US" w:eastAsia="zh-CN"/>
        </w:rPr>
        <w:t>无偏差</w:t>
      </w:r>
      <w:r>
        <w:rPr>
          <w:rFonts w:hint="eastAsia" w:ascii="宋体" w:hAnsi="宋体" w:eastAsia="方正仿宋_GBK" w:cs="方正仿宋_GBK"/>
          <w:sz w:val="32"/>
          <w:szCs w:val="32"/>
          <w:lang w:val="en-US"/>
        </w:rPr>
        <w:t>，全面完成年初</w:t>
      </w:r>
      <w:r>
        <w:rPr>
          <w:rFonts w:hint="eastAsia" w:ascii="宋体" w:hAnsi="宋体" w:eastAsia="方正仿宋_GBK" w:cs="方正仿宋_GBK"/>
          <w:sz w:val="32"/>
          <w:szCs w:val="32"/>
          <w:lang w:val="en-US" w:eastAsia="zh-CN"/>
        </w:rPr>
        <w:t>制定</w:t>
      </w:r>
      <w:r>
        <w:rPr>
          <w:rFonts w:hint="eastAsia" w:ascii="宋体" w:hAnsi="宋体" w:eastAsia="方正仿宋_GBK" w:cs="方正仿宋_GBK"/>
          <w:sz w:val="32"/>
          <w:szCs w:val="32"/>
          <w:lang w:val="en-US"/>
        </w:rPr>
        <w:t>的项目指标，取得较好的社会</w:t>
      </w:r>
      <w:r>
        <w:rPr>
          <w:rFonts w:hint="eastAsia" w:ascii="宋体" w:hAnsi="宋体" w:eastAsia="方正仿宋_GBK" w:cs="方正仿宋_GBK"/>
          <w:sz w:val="32"/>
          <w:szCs w:val="32"/>
          <w:lang w:val="en-US" w:eastAsia="zh-CN"/>
        </w:rPr>
        <w:t>效益，</w:t>
      </w:r>
      <w:r>
        <w:rPr>
          <w:rFonts w:hint="eastAsia" w:ascii="宋体" w:hAnsi="宋体" w:eastAsia="方正仿宋_GBK" w:cs="方正仿宋_GBK"/>
          <w:sz w:val="32"/>
          <w:szCs w:val="32"/>
          <w:lang w:val="en-US"/>
        </w:rPr>
        <w:t>项目的实施也带来了诸多积极的社会影响和经济贡献</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val="en-US"/>
        </w:rPr>
        <w:t>项目在满足受益群体的需求方面表现良好</w:t>
      </w:r>
      <w:r>
        <w:rPr>
          <w:rFonts w:hint="eastAsia" w:ascii="宋体" w:hAnsi="宋体" w:eastAsia="方正仿宋_GBK" w:cs="方正仿宋_GBK"/>
          <w:sz w:val="32"/>
          <w:szCs w:val="32"/>
          <w:lang w:val="en-US" w:eastAsia="zh-CN"/>
        </w:rPr>
        <w:t>，</w:t>
      </w:r>
      <w:r>
        <w:rPr>
          <w:rFonts w:hint="eastAsia" w:ascii="仿宋_GB2312" w:hAnsi="仿宋_GB2312" w:eastAsia="仿宋_GB2312" w:cs="仿宋_GB2312"/>
          <w:sz w:val="32"/>
          <w:szCs w:val="32"/>
        </w:rPr>
        <w:t>绩效自评报告详见</w:t>
      </w:r>
      <w:r>
        <w:rPr>
          <w:rFonts w:hint="eastAsia" w:ascii="仿宋_GB2312" w:hAnsi="仿宋_GB2312" w:eastAsia="仿宋_GB2312" w:cs="仿宋_GB2312"/>
          <w:sz w:val="32"/>
          <w:szCs w:val="32"/>
          <w:lang w:val="en-US" w:eastAsia="zh-CN"/>
        </w:rPr>
        <w:t>第四部分</w:t>
      </w:r>
      <w:r>
        <w:rPr>
          <w:rFonts w:hint="eastAsia" w:ascii="仿宋_GB2312" w:hAnsi="仿宋_GB2312" w:eastAsia="仿宋_GB2312" w:cs="仿宋_GB2312"/>
          <w:sz w:val="32"/>
          <w:szCs w:val="32"/>
        </w:rPr>
        <w:t>附件。</w:t>
      </w:r>
    </w:p>
    <w:p>
      <w:pPr>
        <w:rPr>
          <w:rFonts w:hint="eastAsia"/>
        </w:rPr>
      </w:pPr>
      <w:r>
        <w:rPr>
          <w:rFonts w:hint="eastAsia"/>
        </w:rPr>
        <w:br w:type="page"/>
      </w:r>
    </w:p>
    <w:p>
      <w:pPr>
        <w:pStyle w:val="3"/>
        <w:bidi w:val="0"/>
        <w:rPr>
          <w:rFonts w:hint="eastAsia"/>
        </w:rPr>
      </w:pPr>
      <w:bookmarkStart w:id="61" w:name="_Toc8733"/>
      <w:r>
        <w:rPr>
          <w:rFonts w:hint="eastAsia"/>
        </w:rPr>
        <w:t>第三部分 名词解释</w:t>
      </w:r>
      <w:bookmarkEnd w:id="61"/>
    </w:p>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9"/>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9"/>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val="en-US" w:eastAsia="zh-CN"/>
        </w:rPr>
        <w:t>安岳县机关事务局转来的公务用车运行维护费</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9"/>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9.</w:t>
      </w:r>
      <w:r>
        <w:rPr>
          <w:rFonts w:hint="eastAsia" w:ascii="宋体" w:hAnsi="宋体" w:eastAsia="方正仿宋_GBK" w:cs="方正仿宋_GBK"/>
          <w:sz w:val="32"/>
          <w:szCs w:val="32"/>
          <w:lang w:val="en-US"/>
        </w:rPr>
        <w:t>一般公共服务支出（类）</w:t>
      </w:r>
      <w:r>
        <w:rPr>
          <w:rFonts w:hint="eastAsia" w:ascii="宋体" w:hAnsi="宋体" w:eastAsia="方正仿宋_GBK" w:cs="方正仿宋_GBK"/>
          <w:sz w:val="32"/>
          <w:szCs w:val="32"/>
          <w:lang w:val="en-US" w:eastAsia="zh-CN"/>
        </w:rPr>
        <w:t>纪检监察事务</w:t>
      </w:r>
      <w:r>
        <w:rPr>
          <w:rFonts w:hint="eastAsia" w:ascii="宋体" w:hAnsi="宋体" w:eastAsia="方正仿宋_GBK" w:cs="方正仿宋_GBK"/>
          <w:sz w:val="32"/>
          <w:szCs w:val="32"/>
          <w:lang w:val="en-US"/>
        </w:rPr>
        <w:t>（款）</w:t>
      </w:r>
      <w:r>
        <w:rPr>
          <w:rFonts w:hint="eastAsia" w:ascii="宋体" w:hAnsi="宋体" w:eastAsia="方正仿宋_GBK" w:cs="方正仿宋_GBK"/>
          <w:sz w:val="32"/>
          <w:szCs w:val="32"/>
          <w:lang w:val="en-US" w:eastAsia="zh-CN"/>
        </w:rPr>
        <w:t>行政运行</w:t>
      </w:r>
      <w:r>
        <w:rPr>
          <w:rFonts w:hint="eastAsia" w:ascii="宋体" w:hAnsi="宋体" w:eastAsia="方正仿宋_GBK" w:cs="方正仿宋_GBK"/>
          <w:sz w:val="32"/>
          <w:szCs w:val="32"/>
          <w:lang w:val="en-US"/>
        </w:rPr>
        <w:t>（项）指委机关正常运转的基本支出，包括基本工资、津贴补贴等人员经费以及办公费、印刷费、水电费等日常公用经费。</w:t>
      </w:r>
    </w:p>
    <w:p>
      <w:pPr>
        <w:spacing w:beforeLines="0" w:afterLines="0" w:line="580" w:lineRule="exact"/>
        <w:ind w:firstLine="640" w:firstLineChars="200"/>
        <w:jc w:val="both"/>
        <w:rPr>
          <w:rFonts w:hint="eastAsia" w:ascii="宋体" w:hAnsi="宋体" w:eastAsia="宋体" w:cs="方正仿宋_GBK"/>
          <w:sz w:val="32"/>
          <w:szCs w:val="32"/>
          <w:lang w:val="en-US" w:eastAsia="zh-CN"/>
        </w:rPr>
      </w:pPr>
      <w:r>
        <w:rPr>
          <w:rFonts w:hint="eastAsia" w:ascii="宋体" w:hAnsi="宋体" w:eastAsia="方正仿宋_GBK" w:cs="方正仿宋_GBK"/>
          <w:sz w:val="32"/>
          <w:szCs w:val="32"/>
          <w:lang w:val="en-US" w:eastAsia="zh-CN"/>
        </w:rPr>
        <w:t>10</w:t>
      </w:r>
      <w:r>
        <w:rPr>
          <w:rFonts w:hint="eastAsia" w:ascii="宋体" w:hAnsi="宋体" w:eastAsia="方正仿宋_GBK" w:cs="方正仿宋_GBK"/>
          <w:sz w:val="32"/>
          <w:szCs w:val="32"/>
          <w:lang w:val="en-US"/>
        </w:rPr>
        <w:t>.一般公共服务支出（类）政府办公厅（室）及相关机构事务（款）行政运行（项）:指</w:t>
      </w:r>
      <w:r>
        <w:rPr>
          <w:rFonts w:hint="eastAsia" w:ascii="宋体" w:hAnsi="宋体" w:eastAsia="方正仿宋_GBK" w:cs="方正仿宋_GBK"/>
          <w:sz w:val="32"/>
          <w:szCs w:val="32"/>
          <w:lang w:val="en-US" w:eastAsia="zh-CN"/>
        </w:rPr>
        <w:t>乡镇政府调入人员相关经费。</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11</w:t>
      </w:r>
      <w:r>
        <w:rPr>
          <w:rFonts w:hint="eastAsia" w:ascii="宋体" w:hAnsi="宋体" w:eastAsia="方正仿宋_GBK" w:cs="方正仿宋_GBK"/>
          <w:sz w:val="32"/>
          <w:szCs w:val="32"/>
          <w:lang w:val="en-US"/>
        </w:rPr>
        <w:t>.一般公共服务支出（类）</w:t>
      </w:r>
      <w:r>
        <w:rPr>
          <w:rFonts w:hint="eastAsia" w:ascii="宋体" w:hAnsi="宋体" w:eastAsia="方正仿宋_GBK" w:cs="方正仿宋_GBK"/>
          <w:sz w:val="32"/>
          <w:szCs w:val="32"/>
          <w:lang w:val="en-US" w:eastAsia="zh-CN"/>
        </w:rPr>
        <w:t>纪检监察事务</w:t>
      </w:r>
      <w:r>
        <w:rPr>
          <w:rFonts w:hint="eastAsia" w:ascii="宋体" w:hAnsi="宋体" w:eastAsia="方正仿宋_GBK" w:cs="方正仿宋_GBK"/>
          <w:sz w:val="32"/>
          <w:szCs w:val="32"/>
          <w:lang w:val="en-US"/>
        </w:rPr>
        <w:t>（款）一般行政管理事务（项）: 指委机关及下属事业单位开展纪检监察综合业务的项目支出。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12</w:t>
      </w:r>
      <w:r>
        <w:rPr>
          <w:rFonts w:hint="eastAsia" w:ascii="宋体" w:hAnsi="宋体" w:eastAsia="方正仿宋_GBK" w:cs="方正仿宋_GBK"/>
          <w:sz w:val="32"/>
          <w:szCs w:val="32"/>
          <w:lang w:val="en-US"/>
        </w:rPr>
        <w:t>.一般公共服务支出（类）</w:t>
      </w:r>
      <w:r>
        <w:rPr>
          <w:rFonts w:hint="eastAsia" w:ascii="宋体" w:hAnsi="宋体" w:eastAsia="方正仿宋_GBK" w:cs="方正仿宋_GBK"/>
          <w:sz w:val="32"/>
          <w:szCs w:val="32"/>
          <w:lang w:val="en-US" w:eastAsia="zh-CN"/>
        </w:rPr>
        <w:t>纪检监察事务</w:t>
      </w:r>
      <w:r>
        <w:rPr>
          <w:rFonts w:hint="eastAsia" w:ascii="宋体" w:hAnsi="宋体" w:eastAsia="方正仿宋_GBK" w:cs="方正仿宋_GBK"/>
          <w:sz w:val="32"/>
          <w:szCs w:val="32"/>
          <w:lang w:val="en-US"/>
        </w:rPr>
        <w:t>（款）事业运行（项）:指委机关及下属事业单位开展纪检监察综合业务等未单独设置项级科目的其他纪检监察事务的项目支出。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13</w:t>
      </w:r>
      <w:r>
        <w:rPr>
          <w:rFonts w:hint="eastAsia" w:ascii="宋体" w:hAnsi="宋体" w:eastAsia="方正仿宋_GBK" w:cs="方正仿宋_GBK"/>
          <w:sz w:val="32"/>
          <w:szCs w:val="32"/>
          <w:lang w:val="en-US"/>
        </w:rPr>
        <w:t>.社会保障和就业支出（类）行政事业单位养老支出（款）行政单位离退休（项）指委机关及下属事业单位除上述项目以外其他用于行政事业单位养老方面的支出。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14</w:t>
      </w:r>
      <w:r>
        <w:rPr>
          <w:rFonts w:hint="eastAsia" w:ascii="宋体" w:hAnsi="宋体" w:eastAsia="方正仿宋_GBK" w:cs="方正仿宋_GBK"/>
          <w:sz w:val="32"/>
          <w:szCs w:val="32"/>
          <w:lang w:val="en-US"/>
        </w:rPr>
        <w:t>.社会保障和就业支出（类）行政事业单位养老支出（款）机关事业单位基本养老保险缴费支出（项）指委机关及下属事业单位实施养老保险制度由单位缴纳的养老保险费的支出。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15</w:t>
      </w:r>
      <w:r>
        <w:rPr>
          <w:rFonts w:hint="eastAsia" w:ascii="宋体" w:hAnsi="宋体" w:eastAsia="方正仿宋_GBK" w:cs="方正仿宋_GBK"/>
          <w:sz w:val="32"/>
          <w:szCs w:val="32"/>
          <w:lang w:val="en-US"/>
        </w:rPr>
        <w:t>.社会保障和就业支出（类）行政事业单位养老支出（款）  机关事业单位职业年金缴费支出（项）:指委机关及下属事业单位实施养老保险制度由单位实际缴纳的职业年金支出。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16</w:t>
      </w:r>
      <w:r>
        <w:rPr>
          <w:rFonts w:hint="eastAsia" w:ascii="宋体" w:hAnsi="宋体" w:eastAsia="方正仿宋_GBK" w:cs="方正仿宋_GBK"/>
          <w:sz w:val="32"/>
          <w:szCs w:val="32"/>
          <w:lang w:val="en-US"/>
        </w:rPr>
        <w:t>.卫生健康支出（类）行政事业单位医疗（款）行政事业单位医疗（项）:指委机关及参公管理事业单位用于缴纳单位基本医疗保险支出。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17</w:t>
      </w:r>
      <w:r>
        <w:rPr>
          <w:rFonts w:hint="eastAsia" w:ascii="宋体" w:hAnsi="宋体" w:eastAsia="方正仿宋_GBK" w:cs="方正仿宋_GBK"/>
          <w:sz w:val="32"/>
          <w:szCs w:val="32"/>
          <w:lang w:val="en-US"/>
        </w:rPr>
        <w:t>.卫生健康支出（类）行政事业单位医疗（款）事业单位医疗（项）:指事业单位用于缴纳单位基本医疗保险支出。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18</w:t>
      </w:r>
      <w:r>
        <w:rPr>
          <w:rFonts w:hint="eastAsia" w:ascii="宋体" w:hAnsi="宋体" w:eastAsia="方正仿宋_GBK" w:cs="方正仿宋_GBK"/>
          <w:sz w:val="32"/>
          <w:szCs w:val="32"/>
          <w:lang w:val="en-US"/>
        </w:rPr>
        <w:t>.卫生健康支出（类）行政事业单位医疗（款）公务员医疗补助（项）</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lang w:val="en-US"/>
        </w:rPr>
        <w:t>指委机关及参公管理事业单位用于缴纳单位公务员医疗补助支出。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lang w:val="en-US"/>
        </w:rPr>
        <w:t>.</w:t>
      </w:r>
      <w:r>
        <w:rPr>
          <w:rFonts w:hint="eastAsia" w:ascii="宋体" w:hAnsi="宋体" w:eastAsia="方正仿宋_GBK" w:cs="方正仿宋_GBK"/>
          <w:sz w:val="32"/>
          <w:szCs w:val="32"/>
          <w:lang w:val="en-US" w:eastAsia="zh-CN"/>
        </w:rPr>
        <w:t>农林水支出</w:t>
      </w:r>
      <w:r>
        <w:rPr>
          <w:rFonts w:hint="eastAsia" w:ascii="宋体" w:hAnsi="宋体" w:eastAsia="方正仿宋_GBK" w:cs="方正仿宋_GBK"/>
          <w:sz w:val="32"/>
          <w:szCs w:val="32"/>
          <w:lang w:val="en-US"/>
        </w:rPr>
        <w:t>（类）</w:t>
      </w:r>
      <w:r>
        <w:rPr>
          <w:rFonts w:hint="eastAsia" w:ascii="宋体" w:hAnsi="宋体" w:eastAsia="方正仿宋_GBK" w:cs="方正仿宋_GBK"/>
          <w:sz w:val="32"/>
          <w:szCs w:val="32"/>
          <w:lang w:val="en-US" w:eastAsia="zh-CN"/>
        </w:rPr>
        <w:t>巩固脱贫攻坚成果衔接乡村振兴支出</w:t>
      </w:r>
      <w:r>
        <w:rPr>
          <w:rFonts w:hint="eastAsia" w:ascii="宋体" w:hAnsi="宋体" w:eastAsia="方正仿宋_GBK" w:cs="方正仿宋_GBK"/>
          <w:sz w:val="32"/>
          <w:szCs w:val="32"/>
          <w:lang w:val="en-US"/>
        </w:rPr>
        <w:t>（款）</w:t>
      </w:r>
      <w:r>
        <w:rPr>
          <w:rFonts w:hint="eastAsia" w:ascii="宋体" w:hAnsi="宋体" w:eastAsia="方正仿宋_GBK" w:cs="方正仿宋_GBK"/>
          <w:sz w:val="32"/>
          <w:szCs w:val="32"/>
          <w:lang w:val="en-US" w:eastAsia="zh-CN"/>
        </w:rPr>
        <w:t>其他巩固脱贫攻坚成果衔接乡村振兴支出</w:t>
      </w:r>
      <w:r>
        <w:rPr>
          <w:rFonts w:hint="eastAsia" w:ascii="宋体" w:hAnsi="宋体" w:eastAsia="方正仿宋_GBK" w:cs="方正仿宋_GBK"/>
          <w:sz w:val="32"/>
          <w:szCs w:val="32"/>
          <w:lang w:val="en-US"/>
        </w:rPr>
        <w:t>（项）:指</w:t>
      </w:r>
      <w:r>
        <w:rPr>
          <w:rFonts w:hint="eastAsia" w:ascii="宋体" w:hAnsi="宋体" w:eastAsia="方正仿宋_GBK" w:cs="方正仿宋_GBK"/>
          <w:sz w:val="32"/>
          <w:szCs w:val="32"/>
          <w:lang w:val="en-US" w:eastAsia="zh-CN"/>
        </w:rPr>
        <w:t>驻村队员生活补助及相关经费。</w:t>
      </w:r>
    </w:p>
    <w:p>
      <w:pPr>
        <w:spacing w:beforeLines="0" w:afterLines="0" w:line="580" w:lineRule="exact"/>
        <w:ind w:firstLine="640" w:firstLineChars="200"/>
        <w:jc w:val="both"/>
        <w:rPr>
          <w:rFonts w:hint="eastAsia" w:ascii="宋体" w:hAnsi="宋体" w:eastAsia="宋体" w:cs="方正仿宋_GBK"/>
          <w:sz w:val="32"/>
          <w:szCs w:val="32"/>
          <w:lang w:val="en-US"/>
        </w:rPr>
      </w:pPr>
      <w:r>
        <w:rPr>
          <w:rFonts w:hint="eastAsia" w:ascii="宋体" w:hAnsi="宋体" w:eastAsia="方正仿宋_GBK" w:cs="方正仿宋_GBK"/>
          <w:sz w:val="32"/>
          <w:szCs w:val="32"/>
          <w:lang w:val="en-US" w:eastAsia="zh-CN"/>
        </w:rPr>
        <w:t>20</w:t>
      </w:r>
      <w:r>
        <w:rPr>
          <w:rFonts w:hint="eastAsia" w:ascii="宋体" w:hAnsi="宋体" w:eastAsia="方正仿宋_GBK" w:cs="方正仿宋_GBK"/>
          <w:sz w:val="32"/>
          <w:szCs w:val="32"/>
          <w:lang w:val="en-US"/>
        </w:rPr>
        <w:t>.住房保障支出（类）住房改革支出（款）住房公积金（项）:指按照《住房公积金管理条例》的规定，由单位及其在职职工缴存的长期住房储金。</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21</w:t>
      </w:r>
      <w:r>
        <w:rPr>
          <w:rFonts w:hint="eastAsia" w:ascii="宋体" w:hAnsi="宋体" w:eastAsia="方正仿宋_GBK" w:cs="方正仿宋_GBK"/>
          <w:sz w:val="32"/>
          <w:szCs w:val="32"/>
          <w:lang w:val="en-US"/>
        </w:rPr>
        <w:t>.基本支出：指为保障机构正常运转、完成日常工作任务而发生的人员支出和公用支出。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rPr>
        <w:t>2</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lang w:val="en-US"/>
        </w:rPr>
        <w:t xml:space="preserve">.项目支出：指在基本支出之外为完成特定行政任务和事业发展目标所发生的支出。 </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23</w:t>
      </w:r>
      <w:r>
        <w:rPr>
          <w:rFonts w:hint="eastAsia" w:ascii="宋体" w:hAnsi="宋体" w:eastAsia="方正仿宋_GBK" w:cs="方正仿宋_GBK"/>
          <w:sz w:val="32"/>
          <w:szCs w:val="32"/>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24</w:t>
      </w:r>
      <w:r>
        <w:rPr>
          <w:rFonts w:hint="eastAsia" w:ascii="宋体" w:hAnsi="宋体" w:eastAsia="方正仿宋_GBK" w:cs="方正仿宋_GBK"/>
          <w:sz w:val="32"/>
          <w:szCs w:val="32"/>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r>
        <w:rPr>
          <w:rFonts w:ascii="仿宋" w:hAnsi="仿宋" w:eastAsia="仿宋"/>
          <w:b/>
          <w:sz w:val="32"/>
          <w:szCs w:val="32"/>
        </w:rPr>
        <w:br w:type="page"/>
      </w:r>
    </w:p>
    <w:p>
      <w:pPr>
        <w:pStyle w:val="3"/>
        <w:bidi w:val="0"/>
        <w:rPr>
          <w:rFonts w:hint="eastAsia"/>
        </w:rPr>
      </w:pPr>
      <w:bookmarkStart w:id="62" w:name="_Toc26235"/>
      <w:r>
        <w:rPr>
          <w:rFonts w:hint="eastAsia"/>
        </w:rPr>
        <w:t>第四部分 附件</w:t>
      </w:r>
      <w:bookmarkEnd w:id="62"/>
    </w:p>
    <w:p/>
    <w:p>
      <w:pPr>
        <w:spacing w:line="660" w:lineRule="exact"/>
        <w:jc w:val="left"/>
        <w:outlineLvl w:val="1"/>
        <w:rPr>
          <w:rFonts w:hint="eastAsia" w:ascii="黑体" w:hAnsi="黑体" w:eastAsia="黑体" w:cs="黑体"/>
          <w:sz w:val="32"/>
          <w:szCs w:val="32"/>
          <w:lang w:val="en-US" w:eastAsia="zh-CN"/>
        </w:rPr>
      </w:pPr>
      <w:bookmarkStart w:id="63" w:name="_Toc25019"/>
      <w:r>
        <w:rPr>
          <w:rFonts w:hint="eastAsia" w:ascii="黑体" w:hAnsi="黑体" w:eastAsia="黑体" w:cs="黑体"/>
          <w:sz w:val="32"/>
          <w:szCs w:val="32"/>
          <w:lang w:val="en-US" w:eastAsia="zh-CN"/>
        </w:rPr>
        <w:t>附件1</w:t>
      </w:r>
      <w:bookmarkEnd w:id="63"/>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仿宋_GBK" w:cs="方正仿宋_GBK"/>
          <w:b/>
          <w:sz w:val="32"/>
          <w:szCs w:val="32"/>
        </w:rPr>
      </w:pPr>
      <w:r>
        <w:rPr>
          <w:rFonts w:hint="eastAsia"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年度部门整体支出绩效自评报告</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一、部门概况</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eastAsia" w:ascii="宋体" w:hAnsi="宋体" w:eastAsia="方正楷体_GBK" w:cs="方正楷体_GBK"/>
          <w:b/>
          <w:bCs w:val="0"/>
          <w:sz w:val="32"/>
          <w:szCs w:val="32"/>
        </w:rPr>
      </w:pPr>
      <w:r>
        <w:rPr>
          <w:rFonts w:hint="eastAsia" w:ascii="宋体" w:hAnsi="宋体" w:eastAsia="方正楷体_GBK" w:cs="方正楷体_GBK"/>
          <w:b/>
          <w:bCs w:val="0"/>
          <w:sz w:val="32"/>
          <w:szCs w:val="32"/>
        </w:rPr>
        <w:t>（一）机构组成</w:t>
      </w:r>
    </w:p>
    <w:p>
      <w:pPr>
        <w:keepNext w:val="0"/>
        <w:keepLines w:val="0"/>
        <w:pageBreakBefore w:val="0"/>
        <w:kinsoku/>
        <w:wordWrap/>
        <w:overflowPunct/>
        <w:topLinePunct w:val="0"/>
        <w:autoSpaceDE/>
        <w:autoSpaceDN/>
        <w:bidi w:val="0"/>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中国共产党安岳县纪律检查委员会属于一级预算单位，中共安岳县委巡察工作领导小组办公室作为县委工作部门，设在县纪委，人员经费由县纪委保障，巡察专项经费作为二级预算单位独立核算，县纪委下属事业单位安岳县纪委监委信息化和后勤服务中心</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为非独立核算单位。</w:t>
      </w:r>
    </w:p>
    <w:p>
      <w:pPr>
        <w:keepNext w:val="0"/>
        <w:keepLines w:val="0"/>
        <w:pageBreakBefore w:val="0"/>
        <w:kinsoku/>
        <w:wordWrap/>
        <w:overflowPunct/>
        <w:topLinePunct w:val="0"/>
        <w:autoSpaceDE/>
        <w:autoSpaceDN/>
        <w:bidi w:val="0"/>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纳入202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年度部门决算编制范围的二级预算单位包括：</w:t>
      </w:r>
    </w:p>
    <w:p>
      <w:pPr>
        <w:keepNext w:val="0"/>
        <w:keepLines w:val="0"/>
        <w:pageBreakBefore w:val="0"/>
        <w:kinsoku/>
        <w:wordWrap/>
        <w:overflowPunct/>
        <w:topLinePunct w:val="0"/>
        <w:autoSpaceDE/>
        <w:autoSpaceDN/>
        <w:bidi w:val="0"/>
        <w:snapToGrid w:val="0"/>
        <w:spacing w:line="590" w:lineRule="exact"/>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（1）中国共产党安岳县纪律检查委员会（本级）</w:t>
      </w:r>
      <w:r>
        <w:rPr>
          <w:rFonts w:hint="eastAsia" w:ascii="宋体" w:hAnsi="宋体" w:eastAsia="方正仿宋_GBK" w:cs="方正仿宋_GBK"/>
          <w:sz w:val="32"/>
          <w:szCs w:val="32"/>
          <w:lang w:eastAsia="zh-CN"/>
        </w:rPr>
        <w:t>；</w:t>
      </w:r>
    </w:p>
    <w:p>
      <w:pPr>
        <w:keepNext w:val="0"/>
        <w:keepLines w:val="0"/>
        <w:pageBreakBefore w:val="0"/>
        <w:kinsoku/>
        <w:wordWrap/>
        <w:overflowPunct/>
        <w:topLinePunct w:val="0"/>
        <w:autoSpaceDE/>
        <w:autoSpaceDN/>
        <w:bidi w:val="0"/>
        <w:snapToGrid w:val="0"/>
        <w:spacing w:line="590" w:lineRule="exact"/>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（2）中共安岳县委巡察工作领导小组办公室</w:t>
      </w:r>
      <w:r>
        <w:rPr>
          <w:rFonts w:hint="eastAsia" w:ascii="宋体" w:hAnsi="宋体" w:eastAsia="方正仿宋_GBK" w:cs="方正仿宋_GBK"/>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after="0" w:line="590" w:lineRule="exact"/>
        <w:ind w:firstLine="643" w:firstLineChars="200"/>
        <w:jc w:val="both"/>
        <w:textAlignment w:val="auto"/>
        <w:rPr>
          <w:rFonts w:hint="eastAsia" w:ascii="宋体" w:hAnsi="宋体" w:eastAsia="方正楷体_GBK" w:cs="方正楷体_GBK"/>
          <w:b/>
          <w:bCs w:val="0"/>
          <w:sz w:val="32"/>
          <w:szCs w:val="32"/>
        </w:rPr>
      </w:pPr>
      <w:r>
        <w:rPr>
          <w:rFonts w:hint="eastAsia" w:ascii="宋体" w:hAnsi="宋体" w:eastAsia="方正楷体_GBK" w:cs="方正楷体_GBK"/>
          <w:b/>
          <w:bCs w:val="0"/>
          <w:sz w:val="32"/>
          <w:szCs w:val="32"/>
        </w:rPr>
        <w:t>（二）机构职能</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中国共产党</w:t>
      </w:r>
      <w:r>
        <w:rPr>
          <w:rFonts w:hint="eastAsia" w:ascii="宋体" w:hAnsi="宋体" w:eastAsia="方正仿宋_GBK" w:cs="方正仿宋_GBK"/>
          <w:sz w:val="32"/>
          <w:szCs w:val="32"/>
          <w:lang w:val="en-US" w:eastAsia="zh-CN"/>
        </w:rPr>
        <w:t>安岳县</w:t>
      </w:r>
      <w:r>
        <w:rPr>
          <w:rFonts w:hint="eastAsia" w:ascii="宋体" w:hAnsi="宋体" w:eastAsia="方正仿宋_GBK" w:cs="方正仿宋_GBK"/>
          <w:sz w:val="32"/>
          <w:szCs w:val="32"/>
        </w:rPr>
        <w:t>纪律检查委员会，负责党的纪律检查工作；依照党的章程和其他党内法规履行监督、执纪、问责职责；负责全县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在中央纪委国家监委、省纪委监委、市纪委监委的领导下，加强对反腐败国际追逃追赃和防逃工作的组织协调，督促有关单位做好相关工作；根据干部管理权限，负责纪检监察系统领导班子建设、干部队伍建设和组织建设的综合规划、政策研究、制度建设和业务指导；完成县委和中央纪委国家监委、省纪委监委、市纪委监委交办的其他工作。</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eastAsia" w:ascii="宋体" w:hAnsi="宋体" w:eastAsia="方正楷体_GBK" w:cs="方正楷体_GBK"/>
          <w:b/>
          <w:bCs w:val="0"/>
          <w:sz w:val="32"/>
          <w:szCs w:val="32"/>
        </w:rPr>
      </w:pPr>
      <w:r>
        <w:rPr>
          <w:rFonts w:hint="eastAsia" w:ascii="宋体" w:hAnsi="宋体" w:eastAsia="方正楷体_GBK" w:cs="方正楷体_GBK"/>
          <w:b/>
          <w:bCs w:val="0"/>
          <w:sz w:val="32"/>
          <w:szCs w:val="32"/>
        </w:rPr>
        <w:t>（三）人员概况</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 xml:space="preserve"> 一是编制数。</w:t>
      </w:r>
      <w:r>
        <w:rPr>
          <w:rFonts w:hint="eastAsia" w:ascii="宋体" w:hAnsi="宋体" w:eastAsia="方正仿宋_GBK" w:cs="方正仿宋_GBK"/>
          <w:sz w:val="32"/>
          <w:szCs w:val="32"/>
          <w:lang w:val="en-US" w:eastAsia="zh-CN"/>
        </w:rPr>
        <w:t>中共安岳县纪委总编制数169名。其中行政编制</w:t>
      </w:r>
      <w:r>
        <w:rPr>
          <w:rFonts w:hint="eastAsia" w:ascii="宋体" w:hAnsi="宋体" w:eastAsia="方正仿宋_GBK" w:cs="方正仿宋_GBK"/>
          <w:sz w:val="32"/>
          <w:szCs w:val="32"/>
        </w:rPr>
        <w:t>1</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9名，机关工勤3名，事业编制</w:t>
      </w:r>
      <w:r>
        <w:rPr>
          <w:rFonts w:hint="eastAsia" w:ascii="宋体" w:hAnsi="宋体" w:eastAsia="方正仿宋_GBK" w:cs="方正仿宋_GBK"/>
          <w:sz w:val="32"/>
          <w:szCs w:val="32"/>
          <w:lang w:val="en-US" w:eastAsia="zh-CN"/>
        </w:rPr>
        <w:t>17</w:t>
      </w:r>
      <w:r>
        <w:rPr>
          <w:rFonts w:hint="eastAsia" w:ascii="宋体" w:hAnsi="宋体" w:eastAsia="方正仿宋_GBK" w:cs="方正仿宋_GBK"/>
          <w:sz w:val="32"/>
          <w:szCs w:val="32"/>
        </w:rPr>
        <w:t>名。</w:t>
      </w:r>
      <w:r>
        <w:rPr>
          <w:rFonts w:hint="eastAsia" w:ascii="宋体" w:hAnsi="宋体" w:eastAsia="方正仿宋_GBK" w:cs="方正仿宋_GBK"/>
          <w:sz w:val="32"/>
          <w:szCs w:val="32"/>
          <w:lang w:val="en-US" w:eastAsia="zh-CN"/>
        </w:rPr>
        <w:t>分别为</w:t>
      </w:r>
      <w:r>
        <w:rPr>
          <w:rFonts w:hint="eastAsia" w:ascii="宋体" w:hAnsi="宋体" w:eastAsia="方正仿宋_GBK" w:cs="方正仿宋_GBK"/>
          <w:sz w:val="32"/>
          <w:szCs w:val="32"/>
        </w:rPr>
        <w:t>县纪委监委机关行政编制6</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名，机关工勤3名；县委巡察办行政编制5名、第一至第六巡察组行政编制18名；17个派驻纪检监察组行政编制62名</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rPr>
        <w:t>纪委监委信息化和后勤服务中心</w:t>
      </w:r>
      <w:r>
        <w:rPr>
          <w:rFonts w:hint="eastAsia" w:ascii="宋体" w:hAnsi="宋体" w:eastAsia="方正仿宋_GBK" w:cs="方正仿宋_GBK"/>
          <w:sz w:val="32"/>
          <w:szCs w:val="32"/>
          <w:lang w:val="en-US" w:eastAsia="zh-CN"/>
        </w:rPr>
        <w:t>事业编制17名。</w:t>
      </w:r>
    </w:p>
    <w:p>
      <w:pPr>
        <w:snapToGrid w:val="0"/>
        <w:spacing w:line="590" w:lineRule="exact"/>
        <w:ind w:firstLine="640" w:firstLineChars="200"/>
        <w:rPr>
          <w:rFonts w:hint="eastAsia" w:ascii="宋体" w:hAnsi="宋体" w:eastAsia="方正仿宋_GBK" w:cs="方正仿宋_GBK"/>
          <w:b w:val="0"/>
          <w:bCs w:val="0"/>
          <w:sz w:val="32"/>
          <w:szCs w:val="32"/>
          <w:shd w:val="clear" w:color="auto" w:fill="auto"/>
          <w:lang w:val="en-US" w:eastAsia="zh-CN"/>
        </w:rPr>
      </w:pPr>
      <w:r>
        <w:rPr>
          <w:rFonts w:hint="eastAsia" w:ascii="宋体" w:hAnsi="宋体" w:eastAsia="方正仿宋_GBK" w:cs="方正仿宋_GBK"/>
          <w:sz w:val="32"/>
          <w:szCs w:val="32"/>
        </w:rPr>
        <w:t>二是实有人数。</w:t>
      </w:r>
      <w:r>
        <w:rPr>
          <w:rFonts w:hint="eastAsia" w:ascii="宋体" w:hAnsi="宋体" w:eastAsia="方正仿宋_GBK" w:cs="方正仿宋简体"/>
          <w:sz w:val="32"/>
          <w:szCs w:val="32"/>
          <w:shd w:val="clear" w:color="auto" w:fill="auto"/>
          <w:lang w:val="en-US" w:eastAsia="zh-CN"/>
        </w:rPr>
        <w:t>2023年年末实有总人数172人，其中，在职人数149人（2022年年末人数140人，2023年调入15人、新聘用事业干部5人、调出8人、辞职1人、退休1人、死亡1人，净增9人），其中：</w:t>
      </w:r>
      <w:r>
        <w:rPr>
          <w:rFonts w:hint="eastAsia" w:ascii="宋体" w:hAnsi="宋体" w:eastAsia="方正仿宋_GBK" w:cs="方正仿宋_GBK"/>
          <w:sz w:val="32"/>
          <w:szCs w:val="32"/>
          <w:lang w:val="en-US" w:eastAsia="zh-CN"/>
        </w:rPr>
        <w:t>公务员134人、机关工勤3人、事业管理人员3人、事业技术人员9人</w:t>
      </w:r>
      <w:r>
        <w:rPr>
          <w:rFonts w:hint="eastAsia" w:ascii="宋体" w:hAnsi="宋体" w:eastAsia="方正仿宋_GBK" w:cs="方正仿宋简体"/>
          <w:sz w:val="32"/>
          <w:szCs w:val="32"/>
          <w:shd w:val="clear" w:color="auto" w:fill="auto"/>
          <w:lang w:val="en-US" w:eastAsia="zh-CN"/>
        </w:rPr>
        <w:t>；退休人员18人，劳务派遣人员5人。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二、部门财政资金收支情况</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eastAsia" w:ascii="宋体" w:hAnsi="宋体" w:eastAsia="方正楷体_GBK" w:cs="方正楷体_GBK"/>
          <w:bCs/>
          <w:sz w:val="32"/>
          <w:szCs w:val="32"/>
        </w:rPr>
      </w:pPr>
      <w:r>
        <w:rPr>
          <w:rFonts w:hint="eastAsia" w:ascii="宋体" w:hAnsi="宋体" w:eastAsia="方正楷体_GBK" w:cs="方正楷体_GBK"/>
          <w:b/>
          <w:bCs w:val="0"/>
          <w:sz w:val="32"/>
          <w:szCs w:val="32"/>
        </w:rPr>
        <w:t>（一）部门财政资金收入情况</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w:t>
      </w:r>
      <w:r>
        <w:rPr>
          <w:rFonts w:hint="eastAsia" w:ascii="宋体" w:hAnsi="宋体" w:eastAsia="方正仿宋_GBK" w:cs="方正仿宋_GBK"/>
          <w:sz w:val="32"/>
          <w:szCs w:val="32"/>
          <w:lang w:val="en-US" w:eastAsia="zh-CN"/>
        </w:rPr>
        <w:t>财政拨款</w:t>
      </w:r>
      <w:r>
        <w:rPr>
          <w:rFonts w:hint="eastAsia" w:ascii="宋体" w:hAnsi="宋体" w:eastAsia="方正仿宋_GBK" w:cs="方正仿宋_GBK"/>
          <w:sz w:val="32"/>
          <w:szCs w:val="32"/>
        </w:rPr>
        <w:t>收入</w:t>
      </w:r>
      <w:r>
        <w:rPr>
          <w:rFonts w:hint="eastAsia" w:ascii="宋体" w:hAnsi="宋体" w:eastAsia="方正仿宋_GBK" w:cs="方正仿宋_GBK"/>
          <w:sz w:val="32"/>
          <w:szCs w:val="32"/>
          <w:lang w:val="en-US" w:eastAsia="zh-CN"/>
        </w:rPr>
        <w:t>3177.6</w:t>
      </w:r>
      <w:r>
        <w:rPr>
          <w:rFonts w:hint="eastAsia" w:ascii="宋体" w:hAnsi="宋体" w:eastAsia="方正仿宋_GBK" w:cs="方正仿宋_GBK"/>
          <w:sz w:val="32"/>
          <w:szCs w:val="32"/>
        </w:rPr>
        <w:t>万元，</w:t>
      </w:r>
      <w:r>
        <w:rPr>
          <w:rFonts w:hint="eastAsia" w:ascii="宋体" w:hAnsi="宋体" w:eastAsia="方正仿宋_GBK" w:cs="方正仿宋_GBK"/>
          <w:sz w:val="32"/>
          <w:szCs w:val="32"/>
          <w:lang w:val="en-US" w:eastAsia="zh-CN"/>
        </w:rPr>
        <w:t>与上年度财政拨款收入3260.1万元相比减少82.5万元，减少2.53%，差异原因：一是项目减少，相应减少项目经费。</w:t>
      </w:r>
      <w:r>
        <w:rPr>
          <w:rFonts w:hint="eastAsia" w:ascii="宋体" w:hAnsi="宋体" w:eastAsia="方正仿宋_GBK" w:cs="Times New Roman"/>
          <w:b w:val="0"/>
          <w:bCs w:val="0"/>
          <w:spacing w:val="0"/>
          <w:sz w:val="32"/>
          <w:szCs w:val="32"/>
          <w:shd w:val="clear" w:color="auto" w:fill="auto"/>
          <w:lang w:val="en-US" w:eastAsia="zh-CN"/>
        </w:rPr>
        <w:t>具体是纪委办案专项经费年未支付资阳市留置中心办案食宿费用，支出数与上年同比减少221.86万元，同时还减少了2个项目，</w:t>
      </w:r>
      <w:r>
        <w:rPr>
          <w:rFonts w:hint="eastAsia" w:ascii="宋体" w:hAnsi="宋体" w:eastAsia="方正仿宋_GBK" w:cs="方正仿宋简体"/>
          <w:kern w:val="2"/>
          <w:sz w:val="32"/>
          <w:szCs w:val="32"/>
          <w:shd w:val="clear" w:color="auto" w:fill="auto"/>
          <w:lang w:val="en-US" w:eastAsia="zh-CN" w:bidi="ar-SA"/>
        </w:rPr>
        <w:t>项目支出与上年度支出相比减少337.07万元；二是</w:t>
      </w:r>
      <w:r>
        <w:rPr>
          <w:rFonts w:hint="eastAsia" w:ascii="宋体" w:hAnsi="宋体" w:eastAsia="方正仿宋_GBK" w:cs="Times New Roman"/>
          <w:b w:val="0"/>
          <w:bCs w:val="0"/>
          <w:spacing w:val="0"/>
          <w:sz w:val="32"/>
          <w:szCs w:val="32"/>
          <w:shd w:val="clear" w:color="auto" w:fill="auto"/>
          <w:lang w:val="en-US" w:eastAsia="zh-CN"/>
        </w:rPr>
        <w:t>基本支出因人员增加、工资晋档晋级、职业年金做实、退休一次性补贴等政策性增支</w:t>
      </w:r>
      <w:r>
        <w:rPr>
          <w:rFonts w:hint="eastAsia" w:ascii="宋体" w:hAnsi="宋体" w:eastAsia="方正仿宋_GBK" w:cs="方正仿宋简体"/>
          <w:kern w:val="2"/>
          <w:sz w:val="32"/>
          <w:szCs w:val="32"/>
          <w:shd w:val="clear" w:color="auto" w:fill="auto"/>
          <w:lang w:val="en-US" w:eastAsia="zh-CN" w:bidi="ar-SA"/>
        </w:rPr>
        <w:t>与上年度支出相比增加</w:t>
      </w:r>
      <w:r>
        <w:rPr>
          <w:rFonts w:hint="eastAsia" w:ascii="宋体" w:hAnsi="宋体" w:eastAsia="方正仿宋_GBK" w:cs="Times New Roman"/>
          <w:b w:val="0"/>
          <w:bCs w:val="0"/>
          <w:spacing w:val="0"/>
          <w:sz w:val="32"/>
          <w:szCs w:val="32"/>
          <w:shd w:val="clear" w:color="auto" w:fill="auto"/>
          <w:lang w:val="en-US" w:eastAsia="zh-CN"/>
        </w:rPr>
        <w:t>254.57</w:t>
      </w:r>
      <w:r>
        <w:rPr>
          <w:rFonts w:hint="eastAsia" w:ascii="宋体" w:hAnsi="宋体" w:eastAsia="方正仿宋_GBK" w:cs="方正仿宋简体"/>
          <w:kern w:val="2"/>
          <w:sz w:val="32"/>
          <w:szCs w:val="32"/>
          <w:shd w:val="clear" w:color="auto" w:fill="auto"/>
          <w:lang w:val="en-US" w:eastAsia="zh-CN" w:bidi="ar-SA"/>
        </w:rPr>
        <w:t>万元。</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eastAsia" w:ascii="宋体" w:hAnsi="宋体" w:eastAsia="方正楷体_GBK" w:cs="方正楷体_GBK"/>
          <w:bCs/>
          <w:sz w:val="32"/>
          <w:szCs w:val="32"/>
        </w:rPr>
      </w:pPr>
      <w:r>
        <w:rPr>
          <w:rFonts w:hint="eastAsia" w:ascii="宋体" w:hAnsi="宋体" w:eastAsia="方正楷体_GBK" w:cs="方正楷体_GBK"/>
          <w:b/>
          <w:bCs w:val="0"/>
          <w:sz w:val="32"/>
          <w:szCs w:val="32"/>
          <w:lang w:eastAsia="zh-CN"/>
        </w:rPr>
        <w:t>（</w:t>
      </w:r>
      <w:r>
        <w:rPr>
          <w:rFonts w:hint="eastAsia" w:ascii="宋体" w:hAnsi="宋体" w:eastAsia="方正楷体_GBK" w:cs="方正楷体_GBK"/>
          <w:b/>
          <w:bCs w:val="0"/>
          <w:sz w:val="32"/>
          <w:szCs w:val="32"/>
          <w:lang w:val="en-US" w:eastAsia="zh-CN"/>
        </w:rPr>
        <w:t>二）</w:t>
      </w:r>
      <w:r>
        <w:rPr>
          <w:rFonts w:hint="eastAsia" w:ascii="宋体" w:hAnsi="宋体" w:eastAsia="方正楷体_GBK" w:cs="方正楷体_GBK"/>
          <w:b/>
          <w:bCs w:val="0"/>
          <w:sz w:val="32"/>
          <w:szCs w:val="32"/>
        </w:rPr>
        <w:t>部门财政资金支出情况</w:t>
      </w:r>
    </w:p>
    <w:p>
      <w:pPr>
        <w:keepNext w:val="0"/>
        <w:keepLines w:val="0"/>
        <w:pageBreakBefore w:val="0"/>
        <w:kinsoku/>
        <w:wordWrap/>
        <w:overflowPunct/>
        <w:topLinePunct w:val="0"/>
        <w:autoSpaceDE/>
        <w:autoSpaceDN/>
        <w:bidi w:val="0"/>
        <w:adjustRightInd/>
        <w:snapToGrid w:val="0"/>
        <w:spacing w:line="590" w:lineRule="exact"/>
        <w:ind w:firstLine="626"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w w:val="98"/>
          <w:sz w:val="32"/>
          <w:szCs w:val="32"/>
          <w:lang w:val="en-US" w:eastAsia="zh-CN"/>
        </w:rPr>
        <w:t>2023年</w:t>
      </w:r>
      <w:r>
        <w:rPr>
          <w:rFonts w:hint="eastAsia" w:ascii="宋体" w:hAnsi="宋体" w:eastAsia="方正仿宋_GBK" w:cs="方正仿宋_GBK"/>
          <w:w w:val="98"/>
          <w:sz w:val="32"/>
          <w:szCs w:val="32"/>
        </w:rPr>
        <w:t>财政拨款</w:t>
      </w:r>
      <w:r>
        <w:rPr>
          <w:rFonts w:hint="eastAsia" w:ascii="宋体" w:hAnsi="宋体" w:eastAsia="方正仿宋_GBK" w:cs="方正仿宋_GBK"/>
          <w:w w:val="98"/>
          <w:sz w:val="32"/>
          <w:szCs w:val="32"/>
          <w:lang w:val="en-US" w:eastAsia="zh-CN"/>
        </w:rPr>
        <w:t>支出3177.6万元，</w:t>
      </w:r>
      <w:r>
        <w:rPr>
          <w:rFonts w:hint="eastAsia" w:ascii="宋体" w:hAnsi="宋体" w:eastAsia="方正仿宋_GBK" w:cs="方正仿宋_GBK"/>
          <w:w w:val="98"/>
          <w:sz w:val="32"/>
          <w:szCs w:val="32"/>
        </w:rPr>
        <w:t>按支出性质分</w:t>
      </w:r>
      <w:r>
        <w:rPr>
          <w:rFonts w:hint="eastAsia" w:ascii="宋体" w:hAnsi="宋体" w:eastAsia="方正仿宋_GBK" w:cs="方正仿宋_GBK"/>
          <w:w w:val="98"/>
          <w:sz w:val="32"/>
          <w:szCs w:val="32"/>
          <w:lang w:val="en-US" w:eastAsia="zh-CN"/>
        </w:rPr>
        <w:t>为</w:t>
      </w:r>
      <w:r>
        <w:rPr>
          <w:rFonts w:hint="eastAsia" w:ascii="宋体" w:hAnsi="宋体" w:eastAsia="方正仿宋_GBK" w:cs="方正仿宋_GBK"/>
          <w:w w:val="98"/>
          <w:sz w:val="32"/>
          <w:szCs w:val="32"/>
        </w:rPr>
        <w:t>基本支出</w:t>
      </w:r>
      <w:r>
        <w:rPr>
          <w:rFonts w:hint="eastAsia" w:ascii="宋体" w:hAnsi="宋体" w:eastAsia="方正仿宋_GBK" w:cs="方正仿宋_GBK"/>
          <w:w w:val="98"/>
          <w:sz w:val="32"/>
          <w:szCs w:val="32"/>
          <w:lang w:val="en-US" w:eastAsia="zh-CN"/>
        </w:rPr>
        <w:t>2753.68</w:t>
      </w:r>
      <w:r>
        <w:rPr>
          <w:rFonts w:hint="eastAsia" w:ascii="宋体" w:hAnsi="宋体" w:eastAsia="方正仿宋_GBK" w:cs="方正仿宋_GBK"/>
          <w:w w:val="98"/>
          <w:sz w:val="32"/>
          <w:szCs w:val="32"/>
        </w:rPr>
        <w:t>万元</w:t>
      </w:r>
      <w:r>
        <w:rPr>
          <w:rFonts w:hint="eastAsia" w:ascii="宋体" w:hAnsi="宋体" w:eastAsia="方正仿宋_GBK" w:cs="方正仿宋_GBK"/>
          <w:w w:val="98"/>
          <w:sz w:val="32"/>
          <w:szCs w:val="32"/>
          <w:lang w:eastAsia="zh-CN"/>
        </w:rPr>
        <w:t>，</w:t>
      </w:r>
      <w:r>
        <w:rPr>
          <w:rFonts w:hint="eastAsia" w:ascii="宋体" w:hAnsi="宋体" w:eastAsia="方正仿宋_GBK" w:cs="方正仿宋_GBK"/>
          <w:w w:val="98"/>
          <w:sz w:val="32"/>
          <w:szCs w:val="32"/>
        </w:rPr>
        <w:t>项目支出</w:t>
      </w:r>
      <w:r>
        <w:rPr>
          <w:rFonts w:hint="eastAsia" w:ascii="宋体" w:hAnsi="宋体" w:eastAsia="方正仿宋_GBK" w:cs="方正仿宋_GBK"/>
          <w:w w:val="98"/>
          <w:sz w:val="32"/>
          <w:szCs w:val="32"/>
          <w:lang w:val="en-US" w:eastAsia="zh-CN"/>
        </w:rPr>
        <w:t>423.92</w:t>
      </w:r>
      <w:r>
        <w:rPr>
          <w:rFonts w:hint="eastAsia" w:ascii="宋体" w:hAnsi="宋体" w:eastAsia="方正仿宋_GBK" w:cs="方正仿宋_GBK"/>
          <w:w w:val="98"/>
          <w:sz w:val="32"/>
          <w:szCs w:val="32"/>
        </w:rPr>
        <w:t>万元</w:t>
      </w:r>
      <w:r>
        <w:rPr>
          <w:rFonts w:hint="eastAsia" w:ascii="宋体" w:hAnsi="宋体" w:eastAsia="方正仿宋_GBK" w:cs="方正仿宋_GBK"/>
          <w:w w:val="98"/>
          <w:sz w:val="32"/>
          <w:szCs w:val="32"/>
          <w:lang w:eastAsia="zh-CN"/>
        </w:rPr>
        <w:t>。</w:t>
      </w:r>
      <w:r>
        <w:rPr>
          <w:rFonts w:hint="eastAsia" w:ascii="宋体" w:hAnsi="宋体" w:eastAsia="方正仿宋_GBK" w:cs="方正仿宋_GBK"/>
          <w:w w:val="98"/>
          <w:sz w:val="32"/>
          <w:szCs w:val="32"/>
          <w:lang w:val="en-US" w:eastAsia="zh-CN"/>
        </w:rPr>
        <w:t>基本支出</w:t>
      </w:r>
      <w:r>
        <w:rPr>
          <w:rFonts w:hint="eastAsia" w:ascii="宋体" w:hAnsi="宋体" w:eastAsia="方正仿宋_GBK" w:cs="方正仿宋_GBK"/>
          <w:w w:val="98"/>
          <w:sz w:val="32"/>
          <w:szCs w:val="32"/>
        </w:rPr>
        <w:t>与上年度相比增加</w:t>
      </w:r>
      <w:r>
        <w:rPr>
          <w:rFonts w:hint="eastAsia" w:ascii="宋体" w:hAnsi="宋体" w:eastAsia="方正仿宋_GBK" w:cs="方正仿宋_GBK"/>
          <w:w w:val="98"/>
          <w:sz w:val="32"/>
          <w:szCs w:val="32"/>
          <w:lang w:val="en-US" w:eastAsia="zh-CN"/>
        </w:rPr>
        <w:t>254.57</w:t>
      </w:r>
      <w:r>
        <w:rPr>
          <w:rFonts w:hint="eastAsia" w:ascii="宋体" w:hAnsi="宋体" w:eastAsia="方正仿宋_GBK" w:cs="方正仿宋_GBK"/>
          <w:w w:val="98"/>
          <w:sz w:val="32"/>
          <w:szCs w:val="32"/>
        </w:rPr>
        <w:t>万元，增长</w:t>
      </w:r>
      <w:r>
        <w:rPr>
          <w:rFonts w:hint="eastAsia" w:ascii="宋体" w:hAnsi="宋体" w:eastAsia="方正仿宋_GBK" w:cs="方正仿宋_GBK"/>
          <w:w w:val="98"/>
          <w:sz w:val="32"/>
          <w:szCs w:val="32"/>
          <w:lang w:val="en-US" w:eastAsia="zh-CN"/>
        </w:rPr>
        <w:t>10</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val="en-US" w:eastAsia="zh-CN"/>
        </w:rPr>
        <w:t>19</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val="en-US" w:eastAsia="zh-CN"/>
        </w:rPr>
        <w:t>其中，人员经费支出2307.45万元，</w:t>
      </w:r>
      <w:r>
        <w:rPr>
          <w:rFonts w:hint="eastAsia" w:ascii="宋体" w:hAnsi="宋体" w:eastAsia="方正仿宋_GBK" w:cs="方正仿宋_GBK"/>
          <w:w w:val="98"/>
          <w:sz w:val="32"/>
          <w:szCs w:val="32"/>
        </w:rPr>
        <w:t>与上年度相比增加</w:t>
      </w:r>
      <w:r>
        <w:rPr>
          <w:rFonts w:hint="eastAsia" w:ascii="宋体" w:hAnsi="宋体" w:eastAsia="方正仿宋_GBK" w:cs="方正仿宋_GBK"/>
          <w:w w:val="98"/>
          <w:sz w:val="32"/>
          <w:szCs w:val="32"/>
          <w:lang w:val="en-US" w:eastAsia="zh-CN"/>
        </w:rPr>
        <w:t>208</w:t>
      </w:r>
      <w:r>
        <w:rPr>
          <w:rFonts w:hint="eastAsia" w:ascii="宋体" w:hAnsi="宋体" w:eastAsia="方正仿宋_GBK" w:cs="方正仿宋_GBK"/>
          <w:w w:val="98"/>
          <w:sz w:val="32"/>
          <w:szCs w:val="32"/>
        </w:rPr>
        <w:t>万元，增长</w:t>
      </w:r>
      <w:r>
        <w:rPr>
          <w:rFonts w:hint="eastAsia" w:ascii="宋体" w:hAnsi="宋体" w:eastAsia="方正仿宋_GBK" w:cs="方正仿宋_GBK"/>
          <w:w w:val="98"/>
          <w:sz w:val="32"/>
          <w:szCs w:val="32"/>
          <w:lang w:val="en-US" w:eastAsia="zh-CN"/>
        </w:rPr>
        <w:t>9</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val="en-US" w:eastAsia="zh-CN"/>
        </w:rPr>
        <w:t>9</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eastAsia="zh-CN"/>
        </w:rPr>
        <w:t>；</w:t>
      </w:r>
      <w:r>
        <w:rPr>
          <w:rFonts w:hint="eastAsia" w:ascii="宋体" w:hAnsi="宋体" w:eastAsia="方正仿宋_GBK" w:cs="方正仿宋_GBK"/>
          <w:w w:val="98"/>
          <w:sz w:val="32"/>
          <w:szCs w:val="32"/>
          <w:lang w:val="en-US" w:eastAsia="zh-CN"/>
        </w:rPr>
        <w:t>公用经费支出446.23万元，</w:t>
      </w:r>
      <w:r>
        <w:rPr>
          <w:rFonts w:hint="eastAsia" w:ascii="宋体" w:hAnsi="宋体" w:eastAsia="方正仿宋_GBK" w:cs="方正仿宋_GBK"/>
          <w:w w:val="98"/>
          <w:sz w:val="32"/>
          <w:szCs w:val="32"/>
        </w:rPr>
        <w:t>与上年度相比</w:t>
      </w:r>
      <w:r>
        <w:rPr>
          <w:rFonts w:hint="eastAsia" w:ascii="宋体" w:hAnsi="宋体" w:eastAsia="方正仿宋_GBK" w:cs="方正仿宋_GBK"/>
          <w:w w:val="98"/>
          <w:sz w:val="32"/>
          <w:szCs w:val="32"/>
          <w:lang w:val="en-US" w:eastAsia="zh-CN"/>
        </w:rPr>
        <w:t>增加46</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val="en-US" w:eastAsia="zh-CN"/>
        </w:rPr>
        <w:t>57</w:t>
      </w:r>
      <w:r>
        <w:rPr>
          <w:rFonts w:hint="eastAsia" w:ascii="宋体" w:hAnsi="宋体" w:eastAsia="方正仿宋_GBK" w:cs="方正仿宋_GBK"/>
          <w:w w:val="98"/>
          <w:sz w:val="32"/>
          <w:szCs w:val="32"/>
        </w:rPr>
        <w:t>万元，</w:t>
      </w:r>
      <w:r>
        <w:rPr>
          <w:rFonts w:hint="eastAsia" w:ascii="宋体" w:hAnsi="宋体" w:eastAsia="方正仿宋_GBK" w:cs="方正仿宋_GBK"/>
          <w:w w:val="98"/>
          <w:sz w:val="32"/>
          <w:szCs w:val="32"/>
          <w:lang w:val="en-US" w:eastAsia="zh-CN"/>
        </w:rPr>
        <w:t>增加11</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val="en-US" w:eastAsia="zh-CN"/>
        </w:rPr>
        <w:t>65</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val="en-US" w:eastAsia="zh-CN"/>
        </w:rPr>
        <w:t>。</w:t>
      </w:r>
      <w:r>
        <w:rPr>
          <w:rFonts w:hint="eastAsia" w:ascii="宋体" w:hAnsi="宋体" w:eastAsia="方正仿宋_GBK" w:cs="方正仿宋_GBK"/>
          <w:w w:val="98"/>
          <w:sz w:val="32"/>
          <w:szCs w:val="32"/>
        </w:rPr>
        <w:t>项目支出</w:t>
      </w:r>
      <w:r>
        <w:rPr>
          <w:rFonts w:hint="eastAsia" w:ascii="宋体" w:hAnsi="宋体" w:eastAsia="方正仿宋_GBK" w:cs="方正仿宋_GBK"/>
          <w:w w:val="98"/>
          <w:sz w:val="32"/>
          <w:szCs w:val="32"/>
          <w:lang w:val="en-US" w:eastAsia="zh-CN"/>
        </w:rPr>
        <w:t>423.92</w:t>
      </w:r>
      <w:r>
        <w:rPr>
          <w:rFonts w:hint="eastAsia" w:ascii="宋体" w:hAnsi="宋体" w:eastAsia="方正仿宋_GBK" w:cs="方正仿宋_GBK"/>
          <w:w w:val="98"/>
          <w:sz w:val="32"/>
          <w:szCs w:val="32"/>
        </w:rPr>
        <w:t>万元</w:t>
      </w:r>
      <w:r>
        <w:rPr>
          <w:rFonts w:hint="eastAsia" w:ascii="宋体" w:hAnsi="宋体" w:eastAsia="方正仿宋_GBK" w:cs="方正仿宋_GBK"/>
          <w:w w:val="98"/>
          <w:sz w:val="32"/>
          <w:szCs w:val="32"/>
          <w:lang w:eastAsia="zh-CN"/>
        </w:rPr>
        <w:t>（</w:t>
      </w:r>
      <w:r>
        <w:rPr>
          <w:rFonts w:hint="eastAsia" w:ascii="宋体" w:hAnsi="宋体" w:eastAsia="方正仿宋_GBK" w:cs="方正仿宋_GBK"/>
          <w:w w:val="98"/>
          <w:sz w:val="32"/>
          <w:szCs w:val="32"/>
          <w:lang w:val="en-US" w:eastAsia="zh-CN"/>
        </w:rPr>
        <w:t>其中，一般公共预算财政拨款支出395.75万元、政府性基金预算财政拨款支出28.17万元）</w:t>
      </w:r>
      <w:r>
        <w:rPr>
          <w:rFonts w:hint="eastAsia" w:ascii="宋体" w:hAnsi="宋体" w:eastAsia="方正仿宋_GBK" w:cs="方正仿宋_GBK"/>
          <w:w w:val="98"/>
          <w:sz w:val="32"/>
          <w:szCs w:val="32"/>
          <w:lang w:eastAsia="zh-CN"/>
        </w:rPr>
        <w:t>，</w:t>
      </w:r>
      <w:r>
        <w:rPr>
          <w:rFonts w:hint="eastAsia" w:ascii="宋体" w:hAnsi="宋体" w:eastAsia="方正仿宋_GBK" w:cs="方正仿宋_GBK"/>
          <w:w w:val="98"/>
          <w:sz w:val="32"/>
          <w:szCs w:val="32"/>
        </w:rPr>
        <w:t>与上年度相比</w:t>
      </w:r>
      <w:r>
        <w:rPr>
          <w:rFonts w:hint="eastAsia" w:ascii="宋体" w:hAnsi="宋体" w:eastAsia="方正仿宋_GBK" w:cs="方正仿宋_GBK"/>
          <w:w w:val="98"/>
          <w:sz w:val="32"/>
          <w:szCs w:val="32"/>
          <w:lang w:val="en-US" w:eastAsia="zh-CN"/>
        </w:rPr>
        <w:t>减少337</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val="en-US" w:eastAsia="zh-CN"/>
        </w:rPr>
        <w:t>07</w:t>
      </w:r>
      <w:r>
        <w:rPr>
          <w:rFonts w:hint="eastAsia" w:ascii="宋体" w:hAnsi="宋体" w:eastAsia="方正仿宋_GBK" w:cs="方正仿宋_GBK"/>
          <w:w w:val="98"/>
          <w:sz w:val="32"/>
          <w:szCs w:val="32"/>
        </w:rPr>
        <w:t>万元，</w:t>
      </w:r>
      <w:r>
        <w:rPr>
          <w:rFonts w:hint="eastAsia" w:ascii="宋体" w:hAnsi="宋体" w:eastAsia="方正仿宋_GBK" w:cs="方正仿宋_GBK"/>
          <w:w w:val="98"/>
          <w:sz w:val="32"/>
          <w:szCs w:val="32"/>
          <w:lang w:val="en-US" w:eastAsia="zh-CN"/>
        </w:rPr>
        <w:t>减少44</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val="en-US" w:eastAsia="zh-CN"/>
        </w:rPr>
        <w:t>29</w:t>
      </w:r>
      <w:r>
        <w:rPr>
          <w:rFonts w:hint="eastAsia" w:ascii="宋体" w:hAnsi="宋体" w:eastAsia="方正仿宋_GBK" w:cs="方正仿宋_GBK"/>
          <w:w w:val="98"/>
          <w:sz w:val="32"/>
          <w:szCs w:val="32"/>
        </w:rPr>
        <w:t>%</w:t>
      </w:r>
      <w:r>
        <w:rPr>
          <w:rFonts w:hint="eastAsia" w:ascii="宋体" w:hAnsi="宋体" w:eastAsia="方正仿宋_GBK" w:cs="方正仿宋_GBK"/>
          <w:w w:val="98"/>
          <w:sz w:val="32"/>
          <w:szCs w:val="32"/>
          <w:lang w:eastAsia="zh-CN"/>
        </w:rPr>
        <w:t>。</w:t>
      </w:r>
      <w:r>
        <w:rPr>
          <w:rFonts w:hint="eastAsia" w:ascii="宋体" w:hAnsi="宋体" w:eastAsia="方正仿宋_GBK" w:cs="方正仿宋_GBK"/>
          <w:w w:val="98"/>
          <w:sz w:val="32"/>
          <w:szCs w:val="32"/>
          <w:lang w:val="en-US" w:eastAsia="zh-CN"/>
        </w:rPr>
        <w:t>主要原因：一是项目减少，相应减少项目经费。</w:t>
      </w:r>
      <w:r>
        <w:rPr>
          <w:rFonts w:hint="eastAsia" w:ascii="宋体" w:hAnsi="宋体" w:eastAsia="方正仿宋_GBK" w:cs="Times New Roman"/>
          <w:b w:val="0"/>
          <w:bCs w:val="0"/>
          <w:spacing w:val="0"/>
          <w:w w:val="98"/>
          <w:sz w:val="32"/>
          <w:szCs w:val="32"/>
          <w:shd w:val="clear" w:color="auto" w:fill="auto"/>
          <w:lang w:val="en-US" w:eastAsia="zh-CN"/>
        </w:rPr>
        <w:t>具体是纪委办案专项经费年未支付资阳市留置中心办案食宿费用，支出数与上年同比减少221.86万元，同时还减少了2个项目，</w:t>
      </w:r>
      <w:r>
        <w:rPr>
          <w:rFonts w:hint="eastAsia" w:ascii="宋体" w:hAnsi="宋体" w:eastAsia="方正仿宋_GBK" w:cs="方正仿宋简体"/>
          <w:w w:val="98"/>
          <w:kern w:val="2"/>
          <w:sz w:val="32"/>
          <w:szCs w:val="32"/>
          <w:shd w:val="clear" w:color="auto" w:fill="auto"/>
          <w:lang w:val="en-US" w:eastAsia="zh-CN" w:bidi="ar-SA"/>
        </w:rPr>
        <w:t>项目支出与上年度支出相比减少337.07万元；二是</w:t>
      </w:r>
      <w:r>
        <w:rPr>
          <w:rFonts w:hint="eastAsia" w:ascii="宋体" w:hAnsi="宋体" w:eastAsia="方正仿宋_GBK" w:cs="Times New Roman"/>
          <w:b w:val="0"/>
          <w:bCs w:val="0"/>
          <w:spacing w:val="0"/>
          <w:w w:val="98"/>
          <w:sz w:val="32"/>
          <w:szCs w:val="32"/>
          <w:shd w:val="clear" w:color="auto" w:fill="auto"/>
          <w:lang w:val="en-US" w:eastAsia="zh-CN"/>
        </w:rPr>
        <w:t>基本支出因人员增加、工资晋档晋级、职业年金做实、退休一次性补贴等政策性增支</w:t>
      </w:r>
      <w:r>
        <w:rPr>
          <w:rFonts w:hint="eastAsia" w:ascii="宋体" w:hAnsi="宋体" w:eastAsia="方正仿宋_GBK" w:cs="方正仿宋简体"/>
          <w:w w:val="98"/>
          <w:kern w:val="2"/>
          <w:sz w:val="32"/>
          <w:szCs w:val="32"/>
          <w:shd w:val="clear" w:color="auto" w:fill="auto"/>
          <w:lang w:val="en-US" w:eastAsia="zh-CN" w:bidi="ar-SA"/>
        </w:rPr>
        <w:t>与上年度支出相比增加</w:t>
      </w:r>
      <w:r>
        <w:rPr>
          <w:rFonts w:hint="eastAsia" w:ascii="宋体" w:hAnsi="宋体" w:eastAsia="方正仿宋_GBK" w:cs="Times New Roman"/>
          <w:b w:val="0"/>
          <w:bCs w:val="0"/>
          <w:spacing w:val="0"/>
          <w:w w:val="98"/>
          <w:sz w:val="32"/>
          <w:szCs w:val="32"/>
          <w:shd w:val="clear" w:color="auto" w:fill="auto"/>
          <w:lang w:val="en-US" w:eastAsia="zh-CN"/>
        </w:rPr>
        <w:t>254.57</w:t>
      </w:r>
      <w:r>
        <w:rPr>
          <w:rFonts w:hint="eastAsia" w:ascii="宋体" w:hAnsi="宋体" w:eastAsia="方正仿宋_GBK" w:cs="方正仿宋简体"/>
          <w:w w:val="98"/>
          <w:kern w:val="2"/>
          <w:sz w:val="32"/>
          <w:szCs w:val="32"/>
          <w:shd w:val="clear" w:color="auto" w:fill="auto"/>
          <w:lang w:val="en-US" w:eastAsia="zh-CN" w:bidi="ar-SA"/>
        </w:rPr>
        <w:t>万元。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三、评价工作开展情况</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eastAsia" w:ascii="宋体" w:hAnsi="宋体" w:eastAsia="方正楷体_GBK" w:cs="方正楷体_GBK"/>
          <w:b/>
          <w:bCs w:val="0"/>
          <w:sz w:val="32"/>
          <w:szCs w:val="32"/>
        </w:rPr>
      </w:pPr>
      <w:r>
        <w:rPr>
          <w:rFonts w:hint="eastAsia" w:ascii="宋体" w:hAnsi="宋体" w:eastAsia="方正楷体_GBK" w:cs="方正楷体_GBK"/>
          <w:b/>
          <w:bCs w:val="0"/>
          <w:sz w:val="32"/>
          <w:szCs w:val="32"/>
        </w:rPr>
        <w:t>（一）自评工作组织领导</w:t>
      </w:r>
    </w:p>
    <w:p>
      <w:pPr>
        <w:keepNext w:val="0"/>
        <w:keepLines w:val="0"/>
        <w:pageBreakBefore w:val="0"/>
        <w:widowControl w:val="0"/>
        <w:kinsoku/>
        <w:wordWrap/>
        <w:overflowPunct/>
        <w:topLinePunct w:val="0"/>
        <w:autoSpaceDE/>
        <w:bidi w:val="0"/>
        <w:spacing w:line="578" w:lineRule="exact"/>
        <w:ind w:firstLine="640" w:firstLineChars="200"/>
        <w:jc w:val="left"/>
        <w:textAlignment w:val="auto"/>
        <w:rPr>
          <w:rFonts w:hint="eastAsia" w:ascii="宋体" w:hAnsi="宋体" w:eastAsia="方正仿宋简体" w:cs="方正仿宋_GBK"/>
          <w:sz w:val="32"/>
          <w:szCs w:val="32"/>
          <w:lang w:eastAsia="zh-CN"/>
        </w:rPr>
      </w:pPr>
      <w:r>
        <w:rPr>
          <w:rFonts w:hint="eastAsia" w:ascii="宋体" w:hAnsi="宋体" w:eastAsia="方正仿宋_GBK" w:cs="方正仿宋_GBK"/>
          <w:sz w:val="32"/>
          <w:szCs w:val="32"/>
        </w:rPr>
        <w:t>根据安岳县财政局《关于开展202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年度财政支出绩效自评工作的通知》（安财监绩〔202</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191</w:t>
      </w:r>
      <w:r>
        <w:rPr>
          <w:rFonts w:hint="eastAsia" w:ascii="宋体" w:hAnsi="宋体" w:eastAsia="方正仿宋_GBK" w:cs="方正仿宋_GBK"/>
          <w:sz w:val="32"/>
          <w:szCs w:val="32"/>
        </w:rPr>
        <w:t>号）文件要求，</w:t>
      </w:r>
      <w:r>
        <w:rPr>
          <w:rFonts w:hint="eastAsia" w:ascii="宋体" w:hAnsi="宋体" w:eastAsia="方正仿宋简体" w:cs="Times New Roman"/>
          <w:sz w:val="32"/>
          <w:szCs w:val="32"/>
        </w:rPr>
        <w:t>为切实做好部门整体支出绩效评价工作，委机关高度重视，由</w:t>
      </w:r>
      <w:r>
        <w:rPr>
          <w:rFonts w:hint="eastAsia" w:ascii="宋体" w:hAnsi="宋体" w:eastAsia="方正仿宋简体" w:cs="Times New Roman"/>
          <w:sz w:val="32"/>
          <w:szCs w:val="32"/>
          <w:lang w:eastAsia="zh-CN"/>
        </w:rPr>
        <w:t>协</w:t>
      </w:r>
      <w:r>
        <w:rPr>
          <w:rFonts w:hint="eastAsia" w:ascii="宋体" w:hAnsi="宋体" w:eastAsia="方正仿宋简体" w:cs="Times New Roman"/>
          <w:sz w:val="32"/>
          <w:szCs w:val="32"/>
        </w:rPr>
        <w:t>管领导负责，办公室具体落实，主要通过业务资料、财务资料、项目支出具体实施情况，对整体支出的完成程度、执行效益或质量做出评价</w:t>
      </w:r>
      <w:r>
        <w:rPr>
          <w:rFonts w:hint="eastAsia" w:ascii="宋体" w:hAnsi="宋体"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eastAsia" w:ascii="宋体" w:hAnsi="宋体" w:eastAsia="方正楷体_GBK" w:cs="方正楷体_GBK"/>
          <w:b/>
          <w:bCs w:val="0"/>
          <w:sz w:val="32"/>
          <w:szCs w:val="32"/>
        </w:rPr>
      </w:pPr>
      <w:r>
        <w:rPr>
          <w:rFonts w:hint="eastAsia" w:ascii="宋体" w:hAnsi="宋体" w:eastAsia="方正楷体_GBK" w:cs="方正楷体_GBK"/>
          <w:b/>
          <w:bCs w:val="0"/>
          <w:sz w:val="32"/>
          <w:szCs w:val="32"/>
        </w:rPr>
        <w:t>（二）自评方式、方法、重点</w:t>
      </w:r>
    </w:p>
    <w:p>
      <w:pPr>
        <w:keepNext w:val="0"/>
        <w:keepLines w:val="0"/>
        <w:pageBreakBefore w:val="0"/>
        <w:widowControl w:val="0"/>
        <w:kinsoku/>
        <w:wordWrap/>
        <w:overflowPunct/>
        <w:topLinePunct w:val="0"/>
        <w:autoSpaceDE/>
        <w:bidi w:val="0"/>
        <w:adjustRightInd w:val="0"/>
        <w:snapToGrid w:val="0"/>
        <w:spacing w:line="578" w:lineRule="exact"/>
        <w:ind w:firstLine="640" w:firstLineChars="200"/>
        <w:textAlignment w:val="auto"/>
        <w:rPr>
          <w:rFonts w:hint="eastAsia" w:ascii="宋体" w:hAnsi="宋体" w:eastAsia="仿宋" w:cs="方正仿宋_GBK"/>
          <w:sz w:val="32"/>
          <w:szCs w:val="32"/>
          <w:lang w:eastAsia="zh-CN"/>
        </w:rPr>
      </w:pPr>
      <w:r>
        <w:rPr>
          <w:rFonts w:hint="eastAsia" w:ascii="宋体" w:hAnsi="宋体" w:eastAsia="方正仿宋简体" w:cs="Times New Roman"/>
          <w:sz w:val="32"/>
          <w:szCs w:val="32"/>
        </w:rPr>
        <w:t>结合</w:t>
      </w:r>
      <w:r>
        <w:rPr>
          <w:rFonts w:ascii="宋体" w:hAnsi="宋体" w:eastAsia="方正仿宋简体" w:cs="Times New Roman"/>
          <w:sz w:val="32"/>
          <w:szCs w:val="32"/>
        </w:rPr>
        <w:t>202</w:t>
      </w:r>
      <w:r>
        <w:rPr>
          <w:rFonts w:hint="eastAsia" w:ascii="宋体" w:hAnsi="宋体" w:eastAsia="方正仿宋简体" w:cs="Times New Roman"/>
          <w:sz w:val="32"/>
          <w:szCs w:val="32"/>
          <w:lang w:val="en-US" w:eastAsia="zh-CN"/>
        </w:rPr>
        <w:t>3</w:t>
      </w:r>
      <w:r>
        <w:rPr>
          <w:rFonts w:hint="eastAsia" w:ascii="宋体" w:hAnsi="宋体" w:eastAsia="方正仿宋简体" w:cs="Times New Roman"/>
          <w:sz w:val="32"/>
          <w:szCs w:val="32"/>
        </w:rPr>
        <w:t>年度部门整体支出绩效自评指标与评分标准，通过分析相关评价资料，对整体支出绩效情况进行综合评分。</w:t>
      </w:r>
      <w:r>
        <w:rPr>
          <w:rFonts w:hint="eastAsia" w:ascii="宋体" w:hAnsi="宋体" w:eastAsia="方正仿宋_GBK" w:cs="方正仿宋_GBK"/>
          <w:sz w:val="32"/>
          <w:szCs w:val="32"/>
        </w:rPr>
        <w:t>主要采取</w:t>
      </w:r>
      <w:r>
        <w:rPr>
          <w:rFonts w:hint="eastAsia" w:ascii="仿宋" w:hAnsi="仿宋" w:eastAsia="仿宋" w:cs="仿宋"/>
          <w:sz w:val="32"/>
          <w:szCs w:val="32"/>
        </w:rPr>
        <w:t>现场查看会计账簿、会计凭证、会计档案和问卷调查等方式进行，重点对日常公用支出特别是“三公”经费支出情况，以及内部管理情况进行了深入分析</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四、评价结论</w:t>
      </w:r>
    </w:p>
    <w:p>
      <w:pPr>
        <w:keepNext w:val="0"/>
        <w:keepLines w:val="0"/>
        <w:pageBreakBefore w:val="0"/>
        <w:widowControl w:val="0"/>
        <w:kinsoku/>
        <w:wordWrap/>
        <w:overflowPunct/>
        <w:topLinePunct w:val="0"/>
        <w:autoSpaceDE/>
        <w:bidi w:val="0"/>
        <w:adjustRightInd w:val="0"/>
        <w:snapToGrid w:val="0"/>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自评，我单位2023年度的预算编制全面、科学、合理，预算执行严格有效，预算管理规范，履职效益明显，严格执行各项财经法规和会计制度，财务管理和会计基础工作规范，严格贯彻《党政机关厉行节约反对浪费条例》，“三公经费”支出控制有力，整体支出情况较好，财政资金使用方向符合预算安排，确保了单位职能职责所需，年初设定的整体绩效目标具体，符合工作实际，指标清晰，量化程度较高，经过综合评价，得分为100分，财政支出绩效为“优”。</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五、绩效分析</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eastAsia" w:ascii="宋体" w:hAnsi="宋体" w:eastAsia="方正楷体_GBK" w:cs="方正楷体_GBK"/>
          <w:b/>
          <w:bCs w:val="0"/>
          <w:sz w:val="32"/>
          <w:szCs w:val="32"/>
        </w:rPr>
      </w:pPr>
      <w:r>
        <w:rPr>
          <w:rFonts w:hint="eastAsia" w:ascii="宋体" w:hAnsi="宋体" w:eastAsia="方正楷体_GBK" w:cs="方正楷体_GBK"/>
          <w:b/>
          <w:bCs w:val="0"/>
          <w:sz w:val="32"/>
          <w:szCs w:val="32"/>
        </w:rPr>
        <w:t>（一）指标分析</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590" w:lineRule="exact"/>
        <w:ind w:firstLine="643" w:firstLineChars="200"/>
        <w:jc w:val="both"/>
        <w:textAlignment w:val="auto"/>
        <w:rPr>
          <w:rFonts w:hint="eastAsia" w:ascii="宋体" w:hAnsi="宋体" w:eastAsia="方正仿宋_GBK" w:cs="方正仿宋_GBK"/>
          <w:b/>
          <w:bCs/>
          <w:color w:val="000000"/>
          <w:sz w:val="32"/>
          <w:szCs w:val="32"/>
        </w:rPr>
      </w:pPr>
      <w:r>
        <w:rPr>
          <w:rFonts w:hint="eastAsia" w:ascii="宋体" w:hAnsi="宋体" w:eastAsia="方正仿宋_GBK" w:cs="方正仿宋_GBK"/>
          <w:b/>
          <w:bCs/>
          <w:color w:val="000000"/>
          <w:sz w:val="32"/>
          <w:szCs w:val="32"/>
        </w:rPr>
        <w:t>1．投入指标（20分）</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1.1绩效目标合理性（2分）：依据《中国共产党纪律处分条例》《中华人民共和国监察法》等开展工作，绩效目标的编制符合国家法律法规、国民经济和社会发展总体规划，主要职能职责是“监督执纪问责”，符合部门“三定”方案确定的职能职责，符合部门制定的中长期实施规划。</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1.2绩效指标明确性（3分）：将部门整体的绩效目标细化分解为8个具体的工作任务，通过清晰、可衡量的指标值予以体现，与本年度部门预算资金相匹配。</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1.3在职人员控制率（5分）：根据县纪委编制情况的说明，委机关各室（部）、县委巡察办及巡察组、纪检监察室、纪工委、派驻纪检监察组、信息化和后勤服务中心共有编制数1</w:t>
      </w:r>
      <w:r>
        <w:rPr>
          <w:rFonts w:hint="eastAsia" w:ascii="宋体" w:hAnsi="宋体" w:eastAsia="方正仿宋_GBK" w:cs="方正仿宋_GBK"/>
          <w:sz w:val="32"/>
          <w:szCs w:val="32"/>
          <w:lang w:val="en-US" w:eastAsia="zh-CN"/>
        </w:rPr>
        <w:t>69</w:t>
      </w:r>
      <w:r>
        <w:rPr>
          <w:rFonts w:hint="eastAsia" w:ascii="宋体" w:hAnsi="宋体" w:eastAsia="方正仿宋_GBK" w:cs="方正仿宋_GBK"/>
          <w:sz w:val="32"/>
          <w:szCs w:val="32"/>
        </w:rPr>
        <w:t>名，实有在编人员1</w:t>
      </w:r>
      <w:r>
        <w:rPr>
          <w:rFonts w:hint="eastAsia" w:ascii="宋体" w:hAnsi="宋体" w:eastAsia="方正仿宋_GBK" w:cs="方正仿宋_GBK"/>
          <w:sz w:val="32"/>
          <w:szCs w:val="32"/>
          <w:lang w:val="en-US" w:eastAsia="zh-CN"/>
        </w:rPr>
        <w:t>49</w:t>
      </w:r>
      <w:r>
        <w:rPr>
          <w:rFonts w:hint="eastAsia" w:ascii="宋体" w:hAnsi="宋体" w:eastAsia="方正仿宋_GBK" w:cs="方正仿宋_GBK"/>
          <w:sz w:val="32"/>
          <w:szCs w:val="32"/>
        </w:rPr>
        <w:t>名，在职人员控制率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（在职人员数／编制数）×100%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（1</w:t>
      </w:r>
      <w:r>
        <w:rPr>
          <w:rFonts w:hint="eastAsia" w:ascii="宋体" w:hAnsi="宋体" w:eastAsia="方正仿宋_GBK" w:cs="方正仿宋_GBK"/>
          <w:sz w:val="32"/>
          <w:szCs w:val="32"/>
          <w:lang w:val="en-US" w:eastAsia="zh-CN"/>
        </w:rPr>
        <w:t>49</w:t>
      </w:r>
      <w:r>
        <w:rPr>
          <w:rFonts w:hint="eastAsia" w:ascii="宋体" w:hAnsi="宋体" w:eastAsia="方正仿宋_GBK" w:cs="方正仿宋_GBK"/>
          <w:sz w:val="32"/>
          <w:szCs w:val="32"/>
        </w:rPr>
        <w:t>/1</w:t>
      </w:r>
      <w:r>
        <w:rPr>
          <w:rFonts w:hint="eastAsia" w:ascii="宋体" w:hAnsi="宋体" w:eastAsia="方正仿宋_GBK" w:cs="方正仿宋_GBK"/>
          <w:sz w:val="32"/>
          <w:szCs w:val="32"/>
          <w:lang w:val="en-US" w:eastAsia="zh-CN"/>
        </w:rPr>
        <w:t>69</w:t>
      </w:r>
      <w:r>
        <w:rPr>
          <w:rFonts w:hint="eastAsia" w:ascii="宋体" w:hAnsi="宋体" w:eastAsia="方正仿宋_GBK" w:cs="方正仿宋_GBK"/>
          <w:sz w:val="32"/>
          <w:szCs w:val="32"/>
        </w:rPr>
        <w:t>）×100%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88</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17</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1.4“三公经费”变动率（5分）：202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年部门“三公经费”预算共计</w:t>
      </w:r>
      <w:r>
        <w:rPr>
          <w:rFonts w:hint="eastAsia" w:ascii="宋体" w:hAnsi="宋体" w:eastAsia="方正仿宋_GBK" w:cs="方正仿宋_GBK"/>
          <w:sz w:val="32"/>
          <w:szCs w:val="32"/>
          <w:lang w:val="en-US" w:eastAsia="zh-CN"/>
        </w:rPr>
        <w:t>37.62</w:t>
      </w:r>
      <w:r>
        <w:rPr>
          <w:rFonts w:hint="eastAsia" w:ascii="宋体" w:hAnsi="宋体" w:eastAsia="方正仿宋_GBK" w:cs="方正仿宋_GBK"/>
          <w:sz w:val="32"/>
          <w:szCs w:val="32"/>
        </w:rPr>
        <w:t>万元，其中，公务接待费</w:t>
      </w:r>
      <w:r>
        <w:rPr>
          <w:rFonts w:hint="eastAsia" w:ascii="宋体" w:hAnsi="宋体" w:eastAsia="方正仿宋_GBK" w:cs="方正仿宋_GBK"/>
          <w:sz w:val="32"/>
          <w:szCs w:val="32"/>
          <w:lang w:val="en-US" w:eastAsia="zh-CN"/>
        </w:rPr>
        <w:t>2.75</w:t>
      </w:r>
      <w:r>
        <w:rPr>
          <w:rFonts w:hint="eastAsia" w:ascii="宋体" w:hAnsi="宋体" w:eastAsia="方正仿宋_GBK" w:cs="方正仿宋_GBK"/>
          <w:sz w:val="32"/>
          <w:szCs w:val="32"/>
        </w:rPr>
        <w:t>万元，公务用车购置及运行维护费</w:t>
      </w:r>
      <w:r>
        <w:rPr>
          <w:rFonts w:hint="eastAsia" w:ascii="宋体" w:hAnsi="宋体" w:eastAsia="方正仿宋_GBK" w:cs="方正仿宋_GBK"/>
          <w:sz w:val="32"/>
          <w:szCs w:val="32"/>
          <w:lang w:val="en-US" w:eastAsia="zh-CN"/>
        </w:rPr>
        <w:t>34.87</w:t>
      </w:r>
      <w:r>
        <w:rPr>
          <w:rFonts w:hint="eastAsia" w:ascii="宋体" w:hAnsi="宋体" w:eastAsia="方正仿宋_GBK" w:cs="方正仿宋_GBK"/>
          <w:sz w:val="32"/>
          <w:szCs w:val="32"/>
        </w:rPr>
        <w:t>万元，无因公出国（境）经费。202</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年部门“三公经费”预算共计</w:t>
      </w:r>
      <w:r>
        <w:rPr>
          <w:rFonts w:hint="eastAsia" w:ascii="宋体" w:hAnsi="宋体" w:eastAsia="方正仿宋_GBK" w:cs="方正仿宋_GBK"/>
          <w:sz w:val="32"/>
          <w:szCs w:val="32"/>
          <w:lang w:val="en-US" w:eastAsia="zh-CN"/>
        </w:rPr>
        <w:t>39</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24</w:t>
      </w:r>
      <w:r>
        <w:rPr>
          <w:rFonts w:hint="eastAsia" w:ascii="宋体" w:hAnsi="宋体" w:eastAsia="方正仿宋_GBK" w:cs="方正仿宋_GBK"/>
          <w:sz w:val="32"/>
          <w:szCs w:val="32"/>
        </w:rPr>
        <w:t>万元，其中，公务接待费</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93</w:t>
      </w:r>
      <w:r>
        <w:rPr>
          <w:rFonts w:hint="eastAsia" w:ascii="宋体" w:hAnsi="宋体" w:eastAsia="方正仿宋_GBK" w:cs="方正仿宋_GBK"/>
          <w:sz w:val="32"/>
          <w:szCs w:val="32"/>
        </w:rPr>
        <w:t>万元，公务用车购置及运行维护费</w:t>
      </w:r>
      <w:r>
        <w:rPr>
          <w:rFonts w:hint="eastAsia" w:ascii="宋体" w:hAnsi="宋体" w:eastAsia="方正仿宋_GBK" w:cs="方正仿宋_GBK"/>
          <w:sz w:val="32"/>
          <w:szCs w:val="32"/>
          <w:lang w:val="en-US" w:eastAsia="zh-CN"/>
        </w:rPr>
        <w:t>34.31</w:t>
      </w:r>
      <w:r>
        <w:rPr>
          <w:rFonts w:hint="eastAsia" w:ascii="宋体" w:hAnsi="宋体" w:eastAsia="方正仿宋_GBK" w:cs="方正仿宋_GBK"/>
          <w:sz w:val="32"/>
          <w:szCs w:val="32"/>
        </w:rPr>
        <w:t>万元，无因公出国（境）经费。“三公经费”变动率</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[（本年度“三公经费”总额-上年度“三公经费”总额）/上年度“三公经费”总额]×100%</w:t>
      </w:r>
      <w:r>
        <w:rPr>
          <w:rFonts w:hint="eastAsia" w:ascii="宋体" w:hAnsi="宋体" w:eastAsia="方正仿宋_GBK" w:cs="方正仿宋_GBK"/>
          <w:sz w:val="32"/>
          <w:szCs w:val="32"/>
          <w:lang w:val="en-US"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37.62</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39.24</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39.24</w:t>
      </w:r>
      <w:r>
        <w:rPr>
          <w:rFonts w:hint="eastAsia" w:ascii="宋体" w:hAnsi="宋体" w:eastAsia="方正仿宋_GBK" w:cs="方正仿宋_GBK"/>
          <w:sz w:val="32"/>
          <w:szCs w:val="32"/>
        </w:rPr>
        <w:t>×100%</w:t>
      </w:r>
      <w:r>
        <w:rPr>
          <w:rFonts w:hint="eastAsia" w:ascii="宋体" w:hAnsi="宋体" w:eastAsia="方正仿宋_GBK" w:cs="方正仿宋_GBK"/>
          <w:sz w:val="32"/>
          <w:szCs w:val="32"/>
          <w:lang w:val="en-US" w:eastAsia="zh-CN"/>
        </w:rPr>
        <w:t>=-4.13%</w:t>
      </w:r>
      <w:r>
        <w:rPr>
          <w:rFonts w:hint="eastAsia" w:ascii="宋体" w:hAnsi="宋体" w:eastAsia="方正仿宋_GBK" w:cs="方正仿宋_GBK"/>
          <w:sz w:val="32"/>
          <w:szCs w:val="32"/>
        </w:rPr>
        <w:t>，较上年</w:t>
      </w:r>
      <w:r>
        <w:rPr>
          <w:rFonts w:hint="eastAsia" w:ascii="宋体" w:hAnsi="宋体" w:eastAsia="方正仿宋_GBK" w:cs="方正仿宋_GBK"/>
          <w:sz w:val="32"/>
          <w:szCs w:val="32"/>
          <w:lang w:val="en-US" w:eastAsia="zh-CN"/>
        </w:rPr>
        <w:t>度减少4.13%</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1.5重点支出安排率（5分）：202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年部门编报的预算项目，除财政允许编制的通用项目外，其余均属于履行职责、与促进社会发展密切相关、具有明显社会和经济效益的项目，故重点支出安排率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（重点项目支出/项目总支出）×100%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423</w:t>
      </w:r>
      <w:r>
        <w:rPr>
          <w:rFonts w:hint="eastAsia" w:ascii="宋体" w:hAnsi="宋体" w:eastAsia="方正仿宋_GBK" w:cs="方正仿宋_GBK"/>
          <w:sz w:val="32"/>
          <w:szCs w:val="32"/>
        </w:rPr>
        <w:t>.9</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423</w:t>
      </w:r>
      <w:r>
        <w:rPr>
          <w:rFonts w:hint="eastAsia" w:ascii="宋体" w:hAnsi="宋体" w:eastAsia="方正仿宋_GBK" w:cs="方正仿宋_GBK"/>
          <w:sz w:val="32"/>
          <w:szCs w:val="32"/>
        </w:rPr>
        <w:t>.9</w:t>
      </w:r>
      <w:r>
        <w:rPr>
          <w:rFonts w:hint="eastAsia" w:ascii="宋体" w:hAnsi="宋体" w:eastAsia="方正仿宋_GBK" w:cs="方正仿宋_GBK"/>
          <w:sz w:val="32"/>
          <w:szCs w:val="32"/>
          <w:lang w:val="en-US" w:eastAsia="zh-CN"/>
        </w:rPr>
        <w:t>2</w:t>
      </w:r>
      <w:r>
        <w:rPr>
          <w:rFonts w:hint="eastAsia" w:ascii="宋体" w:hAnsi="宋体" w:eastAsia="方正仿宋_GBK" w:cs="方正仿宋_GBK"/>
          <w:sz w:val="32"/>
          <w:szCs w:val="32"/>
        </w:rPr>
        <w:t>）×100%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100%。</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590" w:lineRule="exact"/>
        <w:ind w:firstLine="643" w:firstLineChars="200"/>
        <w:jc w:val="both"/>
        <w:textAlignment w:val="auto"/>
        <w:rPr>
          <w:rFonts w:hint="eastAsia" w:ascii="宋体" w:hAnsi="宋体" w:eastAsia="方正仿宋_GBK" w:cs="方正仿宋_GBK"/>
          <w:b/>
          <w:bCs/>
          <w:color w:val="000000"/>
          <w:sz w:val="32"/>
          <w:szCs w:val="32"/>
        </w:rPr>
      </w:pPr>
      <w:r>
        <w:rPr>
          <w:rFonts w:hint="eastAsia" w:ascii="宋体" w:hAnsi="宋体" w:eastAsia="方正仿宋_GBK" w:cs="方正仿宋_GBK"/>
          <w:b/>
          <w:bCs/>
          <w:color w:val="000000"/>
          <w:sz w:val="32"/>
          <w:szCs w:val="32"/>
        </w:rPr>
        <w:t>2．过程指标（</w:t>
      </w:r>
      <w:r>
        <w:rPr>
          <w:rFonts w:hint="eastAsia" w:eastAsia="方正仿宋_GBK" w:cs="方正仿宋_GBK"/>
          <w:b/>
          <w:bCs/>
          <w:color w:val="000000"/>
          <w:sz w:val="32"/>
          <w:szCs w:val="32"/>
          <w:lang w:val="en-US" w:eastAsia="zh-CN"/>
        </w:rPr>
        <w:t>5</w:t>
      </w:r>
      <w:r>
        <w:rPr>
          <w:rFonts w:hint="eastAsia" w:ascii="宋体" w:hAnsi="宋体" w:eastAsia="方正仿宋_GBK" w:cs="方正仿宋_GBK"/>
          <w:b/>
          <w:bCs/>
          <w:color w:val="000000"/>
          <w:sz w:val="32"/>
          <w:szCs w:val="32"/>
          <w:lang w:val="en-US" w:eastAsia="zh-CN"/>
        </w:rPr>
        <w:t>0</w:t>
      </w:r>
      <w:r>
        <w:rPr>
          <w:rFonts w:hint="eastAsia" w:ascii="宋体" w:hAnsi="宋体" w:eastAsia="方正仿宋_GBK" w:cs="方正仿宋_GBK"/>
          <w:b/>
          <w:bCs/>
          <w:color w:val="000000"/>
          <w:sz w:val="32"/>
          <w:szCs w:val="32"/>
        </w:rPr>
        <w:t>分）</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2.1预算完成率（</w:t>
      </w:r>
      <w:r>
        <w:rPr>
          <w:rFonts w:hint="eastAsia" w:ascii="宋体" w:hAnsi="宋体" w:eastAsia="方正仿宋_GBK" w:cs="方正仿宋_GBK"/>
          <w:sz w:val="32"/>
          <w:szCs w:val="32"/>
          <w:lang w:val="en-US" w:eastAsia="zh-CN"/>
        </w:rPr>
        <w:t>4</w:t>
      </w:r>
      <w:r>
        <w:rPr>
          <w:rFonts w:hint="eastAsia" w:ascii="宋体" w:hAnsi="宋体" w:eastAsia="方正仿宋_GBK" w:cs="方正仿宋_GBK"/>
          <w:sz w:val="32"/>
          <w:szCs w:val="32"/>
        </w:rPr>
        <w:t>分）：根据预算完成率标准，本部门202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年预算数为</w:t>
      </w:r>
      <w:r>
        <w:rPr>
          <w:rFonts w:hint="eastAsia" w:ascii="宋体" w:hAnsi="宋体" w:eastAsia="方正仿宋_GBK" w:cs="方正仿宋_GBK"/>
          <w:sz w:val="32"/>
          <w:szCs w:val="32"/>
          <w:lang w:val="en-US" w:eastAsia="zh-CN"/>
        </w:rPr>
        <w:t>3180.52</w:t>
      </w:r>
      <w:r>
        <w:rPr>
          <w:rFonts w:hint="eastAsia" w:ascii="宋体" w:hAnsi="宋体" w:eastAsia="方正仿宋_GBK" w:cs="方正仿宋_GBK"/>
          <w:sz w:val="32"/>
          <w:szCs w:val="32"/>
        </w:rPr>
        <w:t>万元，预算完成数</w:t>
      </w:r>
      <w:r>
        <w:rPr>
          <w:rFonts w:hint="eastAsia" w:ascii="宋体" w:hAnsi="宋体" w:eastAsia="方正仿宋_GBK" w:cs="方正仿宋_GBK"/>
          <w:sz w:val="32"/>
          <w:szCs w:val="32"/>
          <w:lang w:val="en-US" w:eastAsia="zh-CN"/>
        </w:rPr>
        <w:t>3177</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65</w:t>
      </w:r>
      <w:r>
        <w:rPr>
          <w:rFonts w:hint="eastAsia" w:ascii="宋体" w:hAnsi="宋体" w:eastAsia="方正仿宋_GBK" w:cs="方正仿宋_GBK"/>
          <w:sz w:val="32"/>
          <w:szCs w:val="32"/>
        </w:rPr>
        <w:t>万元，预算完成率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（预算完成数/预算数）×100%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3177</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65</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3180.52</w:t>
      </w:r>
      <w:r>
        <w:rPr>
          <w:rFonts w:hint="eastAsia" w:ascii="宋体" w:hAnsi="宋体" w:eastAsia="方正仿宋_GBK" w:cs="方正仿宋_GBK"/>
          <w:sz w:val="32"/>
          <w:szCs w:val="32"/>
        </w:rPr>
        <w:t>）×100%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99.9</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已报政府采购未支出数2.89万元，实属降低采购成本所致，采购任务已完成，</w:t>
      </w:r>
      <w:r>
        <w:rPr>
          <w:rFonts w:hint="eastAsia" w:ascii="宋体" w:hAnsi="宋体" w:eastAsia="方正仿宋_GBK" w:cs="方正仿宋_GBK"/>
          <w:sz w:val="32"/>
          <w:szCs w:val="32"/>
        </w:rPr>
        <w:t>不应扣减分数。</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2.2预算调整数率（2分）：202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年因人员增加</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工资调标和绩效增加等</w:t>
      </w:r>
      <w:r>
        <w:rPr>
          <w:rFonts w:hint="eastAsia" w:ascii="宋体" w:hAnsi="宋体" w:eastAsia="方正仿宋_GBK" w:cs="方正仿宋_GBK"/>
          <w:sz w:val="32"/>
          <w:szCs w:val="32"/>
        </w:rPr>
        <w:t>导致基本支出预算追加，</w:t>
      </w:r>
      <w:r>
        <w:rPr>
          <w:rFonts w:hint="eastAsia" w:ascii="宋体" w:hAnsi="宋体" w:eastAsia="方正仿宋_GBK" w:cs="方正仿宋_GBK"/>
          <w:sz w:val="32"/>
          <w:szCs w:val="32"/>
          <w:lang w:val="en-US" w:eastAsia="zh-CN"/>
        </w:rPr>
        <w:t>存量资金和非税收入再安排，项目资金追加，</w:t>
      </w:r>
      <w:r>
        <w:rPr>
          <w:rFonts w:hint="eastAsia" w:ascii="宋体" w:hAnsi="宋体" w:eastAsia="方正仿宋_GBK" w:cs="方正仿宋_GBK"/>
          <w:sz w:val="32"/>
          <w:szCs w:val="32"/>
        </w:rPr>
        <w:t>属于正常调整范围，不应扣减分数。</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2.3支付进度率（2分）：在资金的支付上，本部门严格按照资金支付时限，及时拨付资金，季度、年度实际支付进度均与既定支付进度相一致，支付进度率100%。</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2.4结转结余率（2分）：根据结转结余率评价标准，结转结余率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结转结余总额/支出预算数×100%</w:t>
      </w:r>
      <w:r>
        <w:rPr>
          <w:rFonts w:hint="eastAsia" w:ascii="宋体" w:hAnsi="宋体" w:eastAsia="方正仿宋_GBK" w:cs="方正仿宋_GBK"/>
          <w:sz w:val="32"/>
          <w:szCs w:val="32"/>
          <w:lang w:val="en-US" w:eastAsia="zh-CN"/>
        </w:rPr>
        <w:t>，2023年无结转</w:t>
      </w:r>
      <w:r>
        <w:rPr>
          <w:rFonts w:hint="eastAsia" w:ascii="宋体" w:hAnsi="宋体" w:eastAsia="方正仿宋_GBK" w:cs="方正仿宋_GBK"/>
          <w:sz w:val="32"/>
          <w:szCs w:val="32"/>
        </w:rPr>
        <w:t>结余</w:t>
      </w:r>
      <w:r>
        <w:rPr>
          <w:rFonts w:hint="eastAsia" w:ascii="宋体" w:hAnsi="宋体"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2.5结转结余变动率（2分）：</w:t>
      </w:r>
      <w:r>
        <w:rPr>
          <w:rFonts w:hint="eastAsia" w:ascii="宋体" w:hAnsi="宋体" w:eastAsia="方正仿宋_GBK" w:cs="方正仿宋_GBK"/>
          <w:sz w:val="32"/>
          <w:szCs w:val="32"/>
          <w:lang w:val="en-US" w:eastAsia="zh-CN"/>
        </w:rPr>
        <w:t>结转结余变动率</w:t>
      </w:r>
      <w:r>
        <w:rPr>
          <w:rFonts w:hint="default" w:ascii="宋体" w:hAnsi="宋体" w:eastAsia="方正仿宋_GBK" w:cs="方正仿宋_GBK"/>
          <w:sz w:val="32"/>
          <w:szCs w:val="32"/>
          <w:lang w:val="en-US" w:eastAsia="zh-CN"/>
        </w:rPr>
        <w:t>=[</w:t>
      </w:r>
      <w:r>
        <w:rPr>
          <w:rFonts w:hint="eastAsia" w:ascii="宋体" w:hAnsi="宋体" w:eastAsia="方正仿宋_GBK" w:cs="方正仿宋_GBK"/>
          <w:sz w:val="32"/>
          <w:szCs w:val="32"/>
          <w:lang w:val="en-US" w:eastAsia="zh-CN"/>
        </w:rPr>
        <w:t>（本年度累计结转结余资金总额</w:t>
      </w:r>
      <w:r>
        <w:rPr>
          <w:rFonts w:hint="default" w:ascii="宋体" w:hAnsi="宋体" w:eastAsia="方正仿宋_GBK" w:cs="方正仿宋_GBK"/>
          <w:sz w:val="32"/>
          <w:szCs w:val="32"/>
          <w:lang w:val="en-US" w:eastAsia="zh-CN"/>
        </w:rPr>
        <w:t>-</w:t>
      </w:r>
      <w:r>
        <w:rPr>
          <w:rFonts w:hint="eastAsia" w:ascii="宋体" w:hAnsi="宋体" w:eastAsia="方正仿宋_GBK" w:cs="方正仿宋_GBK"/>
          <w:sz w:val="32"/>
          <w:szCs w:val="32"/>
          <w:lang w:val="en-US" w:eastAsia="zh-CN"/>
        </w:rPr>
        <w:t>上年度累计结转结余资金总额）</w:t>
      </w:r>
      <w:r>
        <w:rPr>
          <w:rFonts w:hint="default" w:ascii="宋体" w:hAnsi="宋体" w:eastAsia="方正仿宋_GBK" w:cs="方正仿宋_GBK"/>
          <w:sz w:val="32"/>
          <w:szCs w:val="32"/>
          <w:lang w:val="en-US" w:eastAsia="zh-CN"/>
        </w:rPr>
        <w:t>/</w:t>
      </w:r>
      <w:r>
        <w:rPr>
          <w:rFonts w:hint="eastAsia" w:ascii="宋体" w:hAnsi="宋体" w:eastAsia="方正仿宋_GBK" w:cs="方正仿宋_GBK"/>
          <w:sz w:val="32"/>
          <w:szCs w:val="32"/>
          <w:lang w:val="en-US" w:eastAsia="zh-CN"/>
        </w:rPr>
        <w:t xml:space="preserve">上年度 </w:t>
      </w:r>
    </w:p>
    <w:p>
      <w:pPr>
        <w:keepNext w:val="0"/>
        <w:keepLines w:val="0"/>
        <w:pageBreakBefore w:val="0"/>
        <w:kinsoku/>
        <w:wordWrap/>
        <w:overflowPunct/>
        <w:topLinePunct w:val="0"/>
        <w:autoSpaceDE/>
        <w:autoSpaceDN/>
        <w:bidi w:val="0"/>
        <w:adjustRightInd/>
        <w:snapToGrid w:val="0"/>
        <w:spacing w:line="590" w:lineRule="exact"/>
        <w:jc w:val="left"/>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累计结转结余资金总额</w:t>
      </w:r>
      <w:r>
        <w:rPr>
          <w:rFonts w:hint="default" w:ascii="宋体" w:hAnsi="宋体" w:eastAsia="方正仿宋_GBK" w:cs="方正仿宋_GBK"/>
          <w:sz w:val="32"/>
          <w:szCs w:val="32"/>
          <w:lang w:val="en-US" w:eastAsia="zh-CN"/>
        </w:rPr>
        <w:t>]×100%</w:t>
      </w:r>
      <w:r>
        <w:rPr>
          <w:rFonts w:hint="eastAsia" w:ascii="宋体" w:hAnsi="宋体" w:eastAsia="方正仿宋_GBK" w:cs="方正仿宋_GBK"/>
          <w:sz w:val="32"/>
          <w:szCs w:val="32"/>
          <w:lang w:val="en-US" w:eastAsia="zh-CN"/>
        </w:rPr>
        <w:t>。2023</w:t>
      </w:r>
      <w:r>
        <w:rPr>
          <w:rFonts w:hint="eastAsia" w:ascii="宋体" w:hAnsi="宋体" w:eastAsia="方正仿宋_GBK" w:cs="方正仿宋_GBK"/>
          <w:sz w:val="32"/>
          <w:szCs w:val="32"/>
        </w:rPr>
        <w:t>年度</w:t>
      </w:r>
      <w:r>
        <w:rPr>
          <w:rFonts w:hint="eastAsia" w:ascii="宋体" w:hAnsi="宋体" w:eastAsia="方正仿宋_GBK" w:cs="方正仿宋_GBK"/>
          <w:sz w:val="32"/>
          <w:szCs w:val="32"/>
          <w:lang w:val="en-US" w:eastAsia="zh-CN"/>
        </w:rPr>
        <w:t>无结转结余，与上年相比没有变动。</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2.6公用经费控制率（2分）：202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年我部门实际支出公用经费总额为</w:t>
      </w:r>
      <w:r>
        <w:rPr>
          <w:rFonts w:hint="eastAsia" w:ascii="宋体" w:hAnsi="宋体" w:eastAsia="方正仿宋_GBK" w:cs="方正仿宋_GBK"/>
          <w:sz w:val="32"/>
          <w:szCs w:val="32"/>
          <w:lang w:val="en-US" w:eastAsia="zh-CN"/>
        </w:rPr>
        <w:t>448</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23</w:t>
      </w:r>
      <w:r>
        <w:rPr>
          <w:rFonts w:hint="eastAsia" w:ascii="宋体" w:hAnsi="宋体" w:eastAsia="方正仿宋_GBK" w:cs="方正仿宋_GBK"/>
          <w:sz w:val="32"/>
          <w:szCs w:val="32"/>
        </w:rPr>
        <w:t>万元，预算安排公用经费总额为</w:t>
      </w:r>
      <w:r>
        <w:rPr>
          <w:rFonts w:hint="eastAsia" w:ascii="宋体" w:hAnsi="宋体" w:eastAsia="方正仿宋_GBK" w:cs="方正仿宋_GBK"/>
          <w:sz w:val="32"/>
          <w:szCs w:val="32"/>
          <w:lang w:val="en-US" w:eastAsia="zh-CN"/>
        </w:rPr>
        <w:t>467</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91</w:t>
      </w:r>
      <w:r>
        <w:rPr>
          <w:rFonts w:hint="eastAsia" w:ascii="宋体" w:hAnsi="宋体" w:eastAsia="方正仿宋_GBK" w:cs="方正仿宋_GBK"/>
          <w:sz w:val="32"/>
          <w:szCs w:val="32"/>
        </w:rPr>
        <w:t>万元，公用经费控制率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（实际支出公用经费总额/预算安排公用经费总额）×100%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448</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23</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467</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91</w:t>
      </w:r>
      <w:r>
        <w:rPr>
          <w:rFonts w:hint="eastAsia" w:ascii="宋体" w:hAnsi="宋体" w:eastAsia="方正仿宋_GBK" w:cs="方正仿宋_GBK"/>
          <w:sz w:val="32"/>
          <w:szCs w:val="32"/>
        </w:rPr>
        <w:t>）×100%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95.8</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2.7“三公经费”控制率（2分）：本年度认真贯彻落实中央、省、市有关厉行节约、反对浪费各项规定，严格控制“三公经费”，</w:t>
      </w:r>
      <w:r>
        <w:rPr>
          <w:rFonts w:hint="eastAsia" w:ascii="宋体" w:hAnsi="宋体" w:eastAsia="方正仿宋_GBK" w:cs="方正仿宋_GBK"/>
          <w:sz w:val="32"/>
          <w:szCs w:val="32"/>
          <w:lang w:val="en-US" w:eastAsia="zh-CN"/>
        </w:rPr>
        <w:t>年初预</w:t>
      </w:r>
      <w:r>
        <w:rPr>
          <w:rFonts w:hint="eastAsia" w:ascii="宋体" w:hAnsi="宋体" w:eastAsia="方正仿宋_GBK" w:cs="方正仿宋_GBK"/>
          <w:sz w:val="32"/>
          <w:szCs w:val="32"/>
        </w:rPr>
        <w:t>算数</w:t>
      </w:r>
      <w:r>
        <w:rPr>
          <w:rFonts w:hint="eastAsia" w:ascii="宋体" w:hAnsi="宋体" w:eastAsia="方正仿宋_GBK" w:cs="方正仿宋_GBK"/>
          <w:sz w:val="32"/>
          <w:szCs w:val="32"/>
          <w:lang w:val="en-US" w:eastAsia="zh-CN"/>
        </w:rPr>
        <w:t>47.72</w:t>
      </w:r>
      <w:r>
        <w:rPr>
          <w:rFonts w:hint="eastAsia" w:ascii="宋体" w:hAnsi="宋体" w:eastAsia="方正仿宋_GBK" w:cs="方正仿宋_GBK"/>
          <w:sz w:val="32"/>
          <w:szCs w:val="32"/>
        </w:rPr>
        <w:t>万元，实际支出数3</w:t>
      </w:r>
      <w:r>
        <w:rPr>
          <w:rFonts w:hint="eastAsia" w:ascii="宋体" w:hAnsi="宋体" w:eastAsia="方正仿宋_GBK" w:cs="方正仿宋_GBK"/>
          <w:sz w:val="32"/>
          <w:szCs w:val="32"/>
          <w:lang w:val="en-US" w:eastAsia="zh-CN"/>
        </w:rPr>
        <w:t>7</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62</w:t>
      </w:r>
      <w:r>
        <w:rPr>
          <w:rFonts w:hint="eastAsia" w:ascii="宋体" w:hAnsi="宋体" w:eastAsia="方正仿宋_GBK" w:cs="方正仿宋_GBK"/>
          <w:sz w:val="32"/>
          <w:szCs w:val="32"/>
        </w:rPr>
        <w:t>万元，“三公经费”控制率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（“三公经费”实际支出数/“三公经费”预算安排数）×100%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37.62</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47.72</w:t>
      </w:r>
      <w:r>
        <w:rPr>
          <w:rFonts w:hint="eastAsia" w:ascii="宋体" w:hAnsi="宋体" w:eastAsia="方正仿宋_GBK" w:cs="方正仿宋_GBK"/>
          <w:sz w:val="32"/>
          <w:szCs w:val="32"/>
        </w:rPr>
        <w:t>）×100%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85.34</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2.8政府采购执行率（4分）：本年度编制政府采购预算</w:t>
      </w:r>
      <w:r>
        <w:rPr>
          <w:rFonts w:hint="eastAsia" w:ascii="宋体" w:hAnsi="宋体" w:eastAsia="方正仿宋_GBK" w:cs="方正仿宋_GBK"/>
          <w:sz w:val="32"/>
          <w:szCs w:val="32"/>
          <w:lang w:val="en-US" w:eastAsia="zh-CN"/>
        </w:rPr>
        <w:t>17</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38</w:t>
      </w:r>
      <w:r>
        <w:rPr>
          <w:rFonts w:hint="eastAsia" w:ascii="宋体" w:hAnsi="宋体" w:eastAsia="方正仿宋_GBK" w:cs="方正仿宋_GBK"/>
          <w:sz w:val="32"/>
          <w:szCs w:val="32"/>
        </w:rPr>
        <w:t>万元，实际采购金额</w:t>
      </w:r>
      <w:r>
        <w:rPr>
          <w:rFonts w:hint="eastAsia" w:ascii="宋体" w:hAnsi="宋体" w:eastAsia="方正仿宋_GBK" w:cs="方正仿宋_GBK"/>
          <w:sz w:val="32"/>
          <w:szCs w:val="32"/>
          <w:lang w:val="en-US" w:eastAsia="zh-CN"/>
        </w:rPr>
        <w:t>14</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万元。政府采购执行率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（实际采购金额/政府采购预算数）×100%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14</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17</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38</w:t>
      </w:r>
      <w:r>
        <w:rPr>
          <w:rFonts w:hint="eastAsia" w:ascii="宋体" w:hAnsi="宋体" w:eastAsia="方正仿宋_GBK" w:cs="方正仿宋_GBK"/>
          <w:sz w:val="32"/>
          <w:szCs w:val="32"/>
        </w:rPr>
        <w:t>）×100%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83.43</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为了厉行节约实际采购成本比年初预算成本低，采购项目按年初预算全部完成</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因此，</w:t>
      </w:r>
      <w:r>
        <w:rPr>
          <w:rFonts w:hint="eastAsia" w:ascii="宋体" w:hAnsi="宋体" w:eastAsia="方正仿宋_GBK" w:cs="方正仿宋_GBK"/>
          <w:sz w:val="32"/>
          <w:szCs w:val="32"/>
        </w:rPr>
        <w:t>不应扣减分数。</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2.9管理制度健全性（2分）：我部门已制定预算资金管理办法、内部财务管理制度、会计核算制度等管理制度；相关管理制度合法、合规、完整，并得到有效执行。</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2.10资金使用合规性（1分）：我部门资金使用符合国家财经法规和财务管理制度规定以及有关专项资金管理办法的规定；拨付具有完整的审批程序和手续；项目的重大开支均经过评估论证；符合部门预算批复的用途；不存在截留、挤占、挪用、虚列支出等情况。</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2.11预决算信息公开性（1分）：及时按要求将本部门及所属单位预决算公开信息在本部门门户网站安岳纪检监察官网上公开。</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2.12基础信息完善性（1分）：我部门基础数据信息和会计信息资料真实、完整、准确。</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2.13管理制度健全性（2分）：我部门已制定资产管理制度和资金管理制度，相关制度合法、合规、完整，并得到有效执行。</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2.14资产管理安全性（2分）：我部门资产保存完整，配置合理，处置规范；资产账务管理合规，帐实相符；资产处置收入及时足额上缴。</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2.15固定资产利用率（1分）：固定资产总额4</w:t>
      </w:r>
      <w:r>
        <w:rPr>
          <w:rFonts w:hint="eastAsia" w:ascii="宋体" w:hAnsi="宋体" w:eastAsia="方正仿宋_GBK" w:cs="方正仿宋_GBK"/>
          <w:sz w:val="32"/>
          <w:szCs w:val="32"/>
          <w:lang w:val="en-US" w:eastAsia="zh-CN"/>
        </w:rPr>
        <w:t>24</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rPr>
        <w:t>万元</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其中，县纪委本级</w:t>
      </w:r>
      <w:r>
        <w:rPr>
          <w:rFonts w:hint="eastAsia" w:ascii="宋体" w:hAnsi="宋体" w:eastAsia="方正仿宋_GBK" w:cs="方正仿宋_GBK"/>
          <w:sz w:val="32"/>
          <w:szCs w:val="32"/>
        </w:rPr>
        <w:t>固定资产总额4</w:t>
      </w:r>
      <w:r>
        <w:rPr>
          <w:rFonts w:hint="eastAsia" w:ascii="宋体" w:hAnsi="宋体" w:eastAsia="方正仿宋_GBK" w:cs="方正仿宋_GBK"/>
          <w:sz w:val="32"/>
          <w:szCs w:val="32"/>
          <w:lang w:val="en-US" w:eastAsia="zh-CN"/>
        </w:rPr>
        <w:t>20</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39</w:t>
      </w:r>
      <w:r>
        <w:rPr>
          <w:rFonts w:hint="eastAsia" w:ascii="宋体" w:hAnsi="宋体" w:eastAsia="方正仿宋_GBK" w:cs="方正仿宋_GBK"/>
          <w:sz w:val="32"/>
          <w:szCs w:val="32"/>
        </w:rPr>
        <w:t>万元</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县委巡察办</w:t>
      </w:r>
      <w:r>
        <w:rPr>
          <w:rFonts w:hint="eastAsia" w:ascii="宋体" w:hAnsi="宋体" w:eastAsia="方正仿宋_GBK" w:cs="方正仿宋_GBK"/>
          <w:sz w:val="32"/>
          <w:szCs w:val="32"/>
        </w:rPr>
        <w:t>固定资产总额</w:t>
      </w:r>
      <w:r>
        <w:rPr>
          <w:rFonts w:hint="eastAsia" w:ascii="宋体" w:hAnsi="宋体" w:eastAsia="方正仿宋_GBK" w:cs="方正仿宋_GBK"/>
          <w:sz w:val="32"/>
          <w:szCs w:val="32"/>
          <w:lang w:val="en-US" w:eastAsia="zh-CN"/>
        </w:rPr>
        <w:t>3.8万元）</w:t>
      </w:r>
      <w:r>
        <w:rPr>
          <w:rFonts w:hint="eastAsia" w:ascii="宋体" w:hAnsi="宋体" w:eastAsia="方正仿宋_GBK" w:cs="方正仿宋_GBK"/>
          <w:sz w:val="32"/>
          <w:szCs w:val="32"/>
        </w:rPr>
        <w:t>，全部为实际在用固定资产，固定资产利用率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（实际在用固定资产总额/所有固定资产总额）×100%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（4</w:t>
      </w:r>
      <w:r>
        <w:rPr>
          <w:rFonts w:hint="eastAsia" w:ascii="宋体" w:hAnsi="宋体" w:eastAsia="方正仿宋_GBK" w:cs="方正仿宋_GBK"/>
          <w:sz w:val="32"/>
          <w:szCs w:val="32"/>
          <w:lang w:val="en-US" w:eastAsia="zh-CN"/>
        </w:rPr>
        <w:t>24</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rPr>
        <w:t>/4</w:t>
      </w:r>
      <w:r>
        <w:rPr>
          <w:rFonts w:hint="eastAsia" w:ascii="宋体" w:hAnsi="宋体" w:eastAsia="方正仿宋_GBK" w:cs="方正仿宋_GBK"/>
          <w:sz w:val="32"/>
          <w:szCs w:val="32"/>
          <w:lang w:val="en-US" w:eastAsia="zh-CN"/>
        </w:rPr>
        <w:t>24</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rPr>
        <w:t>）×100%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100%。</w:t>
      </w:r>
    </w:p>
    <w:p>
      <w:pPr>
        <w:pStyle w:val="6"/>
        <w:keepNext w:val="0"/>
        <w:keepLines w:val="0"/>
        <w:pageBreakBefore w:val="0"/>
        <w:kinsoku/>
        <w:wordWrap/>
        <w:overflowPunct/>
        <w:topLinePunct w:val="0"/>
        <w:autoSpaceDE/>
        <w:autoSpaceDN/>
        <w:bidi w:val="0"/>
        <w:adjustRightInd/>
        <w:spacing w:line="590" w:lineRule="exact"/>
        <w:ind w:firstLine="640" w:firstLineChars="200"/>
        <w:textAlignment w:val="auto"/>
        <w:rPr>
          <w:rFonts w:hint="eastAsia" w:ascii="宋体" w:hAnsi="宋体" w:eastAsia="方正仿宋_GBK" w:cs="方正仿宋_GBK"/>
          <w:kern w:val="2"/>
          <w:sz w:val="32"/>
          <w:szCs w:val="32"/>
          <w:lang w:val="en-US" w:eastAsia="zh-CN" w:bidi="ar-SA"/>
        </w:rPr>
      </w:pPr>
      <w:r>
        <w:rPr>
          <w:rFonts w:hint="eastAsia" w:ascii="宋体" w:hAnsi="宋体" w:eastAsia="方正仿宋_GBK" w:cs="方正仿宋_GBK"/>
          <w:sz w:val="32"/>
          <w:szCs w:val="32"/>
        </w:rPr>
        <w:t>2.1</w:t>
      </w:r>
      <w:r>
        <w:rPr>
          <w:rFonts w:hint="eastAsia" w:ascii="宋体" w:hAnsi="宋体" w:eastAsia="方正仿宋_GBK" w:cs="方正仿宋_GBK"/>
          <w:sz w:val="32"/>
          <w:szCs w:val="32"/>
          <w:lang w:val="en-US" w:eastAsia="zh-CN"/>
        </w:rPr>
        <w:t>6</w:t>
      </w:r>
      <w:r>
        <w:rPr>
          <w:rFonts w:hint="eastAsia" w:ascii="宋体" w:hAnsi="宋体" w:eastAsia="方正仿宋_GBK" w:cs="方正仿宋_GBK"/>
          <w:kern w:val="2"/>
          <w:sz w:val="32"/>
          <w:szCs w:val="32"/>
          <w:lang w:val="en-US" w:eastAsia="zh-CN" w:bidi="ar-SA"/>
        </w:rPr>
        <w:t>事前绩效评估（4分）：2023年无新增预算项目、新增额度的延续性项目和追加预算项目。</w:t>
      </w:r>
    </w:p>
    <w:p>
      <w:pPr>
        <w:keepNext w:val="0"/>
        <w:keepLines w:val="0"/>
        <w:pageBreakBefore w:val="0"/>
        <w:widowControl/>
        <w:kinsoku/>
        <w:wordWrap/>
        <w:overflowPunct/>
        <w:topLinePunct w:val="0"/>
        <w:autoSpaceDE/>
        <w:autoSpaceDN/>
        <w:bidi w:val="0"/>
        <w:adjustRightInd/>
        <w:spacing w:line="590" w:lineRule="exact"/>
        <w:jc w:val="both"/>
        <w:textAlignment w:val="auto"/>
        <w:rPr>
          <w:rFonts w:hint="default" w:ascii="宋体" w:hAnsi="宋体" w:eastAsia="方正仿宋_GBK" w:cs="方正仿宋_GBK"/>
          <w:sz w:val="32"/>
          <w:szCs w:val="32"/>
          <w:lang w:val="en-US" w:eastAsia="zh-CN"/>
        </w:rPr>
      </w:pPr>
      <w:r>
        <w:rPr>
          <w:rFonts w:hint="eastAsia"/>
          <w:lang w:val="en-US" w:eastAsia="zh-CN"/>
        </w:rPr>
        <w:t xml:space="preserve">     </w:t>
      </w:r>
      <w:r>
        <w:rPr>
          <w:rFonts w:hint="eastAsia" w:ascii="宋体" w:hAnsi="宋体" w:eastAsia="方正仿宋_GBK" w:cs="方正仿宋_GBK"/>
          <w:kern w:val="2"/>
          <w:sz w:val="32"/>
          <w:szCs w:val="32"/>
          <w:lang w:val="en-US" w:eastAsia="zh-CN" w:bidi="ar-SA"/>
        </w:rPr>
        <w:t xml:space="preserve"> </w:t>
      </w:r>
      <w:r>
        <w:rPr>
          <w:rFonts w:hint="eastAsia" w:ascii="宋体" w:hAnsi="宋体" w:eastAsia="方正仿宋_GBK" w:cs="方正仿宋_GBK"/>
          <w:sz w:val="32"/>
          <w:szCs w:val="32"/>
          <w:lang w:val="en-US" w:eastAsia="zh-CN"/>
        </w:rPr>
        <w:t>2.17</w:t>
      </w:r>
      <w:r>
        <w:rPr>
          <w:rFonts w:hint="eastAsia" w:ascii="宋体" w:hAnsi="宋体" w:eastAsia="方正仿宋_GBK" w:cs="方正仿宋_GBK"/>
          <w:sz w:val="32"/>
          <w:szCs w:val="32"/>
          <w:lang w:eastAsia="zh-CN"/>
        </w:rPr>
        <w:t>事中绩效监控（</w:t>
      </w:r>
      <w:r>
        <w:rPr>
          <w:rFonts w:hint="eastAsia" w:ascii="宋体" w:hAnsi="宋体" w:eastAsia="方正仿宋_GBK" w:cs="方正仿宋_GBK"/>
          <w:sz w:val="32"/>
          <w:szCs w:val="32"/>
          <w:lang w:val="en-US" w:eastAsia="zh-CN"/>
        </w:rPr>
        <w:t>4分</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2023年</w:t>
      </w:r>
      <w:r>
        <w:rPr>
          <w:rFonts w:hint="eastAsia" w:ascii="宋体" w:hAnsi="宋体" w:eastAsia="方正仿宋_GBK" w:cs="方正仿宋_GBK"/>
          <w:sz w:val="32"/>
          <w:szCs w:val="32"/>
          <w:lang w:eastAsia="zh-CN"/>
        </w:rPr>
        <w:t>应实施监控项目</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个，实际开展监控项目数量</w:t>
      </w:r>
      <w:r>
        <w:rPr>
          <w:rFonts w:hint="eastAsia" w:ascii="宋体" w:hAnsi="宋体" w:eastAsia="方正仿宋_GBK" w:cs="方正仿宋_GBK"/>
          <w:sz w:val="32"/>
          <w:szCs w:val="32"/>
          <w:lang w:val="en-US" w:eastAsia="zh-CN"/>
        </w:rPr>
        <w:t>5</w:t>
      </w:r>
      <w:r>
        <w:rPr>
          <w:rFonts w:hint="eastAsia" w:ascii="宋体" w:hAnsi="宋体" w:eastAsia="方正仿宋_GBK" w:cs="方正仿宋_GBK"/>
          <w:sz w:val="32"/>
          <w:szCs w:val="32"/>
          <w:lang w:eastAsia="zh-CN"/>
        </w:rPr>
        <w:t>个</w:t>
      </w:r>
      <w:r>
        <w:rPr>
          <w:rFonts w:hint="eastAsia" w:ascii="宋体" w:hAnsi="宋体" w:eastAsia="方正仿宋_GBK" w:cs="方正仿宋_GBK"/>
          <w:sz w:val="32"/>
          <w:szCs w:val="32"/>
          <w:lang w:val="en-US" w:eastAsia="zh-CN"/>
        </w:rPr>
        <w:t>；我部门已</w:t>
      </w:r>
      <w:r>
        <w:rPr>
          <w:rFonts w:hint="eastAsia" w:ascii="宋体" w:hAnsi="宋体" w:eastAsia="方正仿宋_GBK" w:cs="方正仿宋_GBK"/>
          <w:sz w:val="32"/>
          <w:szCs w:val="32"/>
          <w:lang w:eastAsia="zh-CN"/>
        </w:rPr>
        <w:t>建立绩效监控问题整改机制，对偏离绩效目标和预算执行进度较差项目及时整改。</w:t>
      </w:r>
    </w:p>
    <w:p>
      <w:pPr>
        <w:keepNext w:val="0"/>
        <w:keepLines w:val="0"/>
        <w:pageBreakBefore w:val="0"/>
        <w:widowControl/>
        <w:kinsoku/>
        <w:wordWrap/>
        <w:overflowPunct/>
        <w:topLinePunct w:val="0"/>
        <w:autoSpaceDE/>
        <w:autoSpaceDN/>
        <w:bidi w:val="0"/>
        <w:adjustRightInd/>
        <w:spacing w:line="590" w:lineRule="exact"/>
        <w:ind w:firstLine="64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2.18</w:t>
      </w:r>
      <w:r>
        <w:rPr>
          <w:rFonts w:hint="eastAsia" w:ascii="宋体" w:hAnsi="宋体" w:eastAsia="方正仿宋_GBK" w:cs="方正仿宋_GBK"/>
          <w:sz w:val="32"/>
          <w:szCs w:val="32"/>
          <w:lang w:eastAsia="zh-CN"/>
        </w:rPr>
        <w:t>事后绩效自评（</w:t>
      </w:r>
      <w:r>
        <w:rPr>
          <w:rFonts w:hint="eastAsia" w:ascii="宋体" w:hAnsi="宋体" w:eastAsia="方正仿宋_GBK" w:cs="方正仿宋_GBK"/>
          <w:sz w:val="32"/>
          <w:szCs w:val="32"/>
          <w:lang w:val="en-US" w:eastAsia="zh-CN"/>
        </w:rPr>
        <w:t>5分</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2023年我部门</w:t>
      </w:r>
      <w:r>
        <w:rPr>
          <w:rFonts w:hint="eastAsia" w:ascii="Times New Roman" w:hAnsi="方正仿宋简体" w:eastAsia="方正仿宋简体" w:cs="方正仿宋简体"/>
          <w:sz w:val="32"/>
          <w:szCs w:val="32"/>
          <w:highlight w:val="none"/>
        </w:rPr>
        <w:t>按照</w:t>
      </w:r>
      <w:r>
        <w:rPr>
          <w:rFonts w:hint="eastAsia" w:ascii="Times New Roman" w:hAnsi="Times New Roman" w:eastAsia="方正仿宋简体"/>
          <w:sz w:val="32"/>
          <w:highlight w:val="none"/>
        </w:rPr>
        <w:t>《</w:t>
      </w:r>
      <w:r>
        <w:rPr>
          <w:rFonts w:hint="eastAsia" w:ascii="宋体" w:hAnsi="宋体" w:eastAsia="方正仿宋_GBK" w:cs="方正仿宋_GBK"/>
          <w:sz w:val="32"/>
          <w:szCs w:val="32"/>
          <w:lang w:val="en-US" w:eastAsia="zh-CN"/>
        </w:rPr>
        <w:t>安岳县财政支出绩效评价管理办法》规定，本着客观、真实、准确的原则开展部门整体支出、项目支出绩效自评。</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2.19</w:t>
      </w:r>
      <w:r>
        <w:rPr>
          <w:rFonts w:hint="eastAsia" w:ascii="宋体" w:hAnsi="宋体" w:eastAsia="方正仿宋_GBK" w:cs="方正仿宋_GBK"/>
          <w:sz w:val="32"/>
          <w:szCs w:val="32"/>
          <w:lang w:eastAsia="zh-CN"/>
        </w:rPr>
        <w:t>绩效结果应用率（</w:t>
      </w:r>
      <w:r>
        <w:rPr>
          <w:rFonts w:hint="eastAsia" w:ascii="宋体" w:hAnsi="宋体" w:eastAsia="方正仿宋_GBK" w:cs="方正仿宋_GBK"/>
          <w:sz w:val="32"/>
          <w:szCs w:val="32"/>
          <w:lang w:val="en-US" w:eastAsia="zh-CN"/>
        </w:rPr>
        <w:t>5分</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2023年我部门通过建立奖惩制度将预算绩效管理的工作纳入绩效考核，并作为政绩考核依据，健全指标体系和评价标准，增强绩效管理可操作性，达到让</w:t>
      </w:r>
      <w:r>
        <w:rPr>
          <w:rFonts w:hint="eastAsia" w:ascii="宋体" w:hAnsi="宋体" w:eastAsia="方正仿宋_GBK" w:cs="方正仿宋_GBK"/>
          <w:sz w:val="32"/>
          <w:szCs w:val="32"/>
          <w:lang w:eastAsia="zh-CN"/>
        </w:rPr>
        <w:t>绩效管理各环节发现的问题和建议得到实际应用</w:t>
      </w:r>
      <w:r>
        <w:rPr>
          <w:rFonts w:hint="eastAsia" w:ascii="宋体" w:hAnsi="宋体" w:eastAsia="方正仿宋_GBK" w:cs="方正仿宋_GBK"/>
          <w:sz w:val="32"/>
          <w:szCs w:val="32"/>
          <w:lang w:val="en-US" w:eastAsia="zh-CN"/>
        </w:rPr>
        <w:t>的目的</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同时将</w:t>
      </w:r>
      <w:r>
        <w:rPr>
          <w:rFonts w:hint="eastAsia" w:ascii="宋体" w:hAnsi="宋体" w:eastAsia="方正仿宋_GBK" w:cs="方正仿宋_GBK"/>
          <w:sz w:val="32"/>
          <w:szCs w:val="32"/>
          <w:lang w:eastAsia="zh-CN"/>
        </w:rPr>
        <w:t>绩效评价结果作为年度安排预算项目资金和改进预算管理的依据。</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2.20绩效信息公开（2分）：</w:t>
      </w:r>
      <w:r>
        <w:rPr>
          <w:rFonts w:hint="eastAsia" w:ascii="宋体" w:hAnsi="宋体" w:eastAsia="方正仿宋_GBK" w:cs="方正仿宋_GBK"/>
          <w:sz w:val="32"/>
          <w:szCs w:val="32"/>
          <w:lang w:eastAsia="zh-CN"/>
        </w:rPr>
        <w:t>按要求将</w:t>
      </w:r>
      <w:r>
        <w:rPr>
          <w:rFonts w:hint="eastAsia" w:ascii="宋体" w:hAnsi="宋体" w:eastAsia="方正仿宋_GBK" w:cs="方正仿宋_GBK"/>
          <w:sz w:val="32"/>
          <w:szCs w:val="32"/>
          <w:lang w:val="en-US" w:eastAsia="zh-CN"/>
        </w:rPr>
        <w:t>单位</w:t>
      </w:r>
      <w:r>
        <w:rPr>
          <w:rFonts w:hint="eastAsia" w:ascii="宋体" w:hAnsi="宋体" w:eastAsia="方正仿宋_GBK" w:cs="方正仿宋_GBK"/>
          <w:sz w:val="32"/>
          <w:szCs w:val="32"/>
          <w:lang w:eastAsia="zh-CN"/>
        </w:rPr>
        <w:t>绩效目标申报表、绩效自评报告在本部门门户网站安岳纪检监察官网上</w:t>
      </w:r>
      <w:r>
        <w:rPr>
          <w:rFonts w:hint="eastAsia" w:ascii="宋体" w:hAnsi="宋体" w:eastAsia="方正仿宋_GBK" w:cs="方正仿宋_GBK"/>
          <w:sz w:val="32"/>
          <w:szCs w:val="32"/>
          <w:lang w:val="en-US" w:eastAsia="zh-CN"/>
        </w:rPr>
        <w:t>与单位决算公开信息一并</w:t>
      </w:r>
      <w:r>
        <w:rPr>
          <w:rFonts w:hint="eastAsia" w:ascii="宋体" w:hAnsi="宋体" w:eastAsia="方正仿宋_GBK" w:cs="方正仿宋_GBK"/>
          <w:sz w:val="32"/>
          <w:szCs w:val="32"/>
          <w:lang w:eastAsia="zh-CN"/>
        </w:rPr>
        <w:t>公开。</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590" w:lineRule="exact"/>
        <w:ind w:firstLine="643" w:firstLineChars="200"/>
        <w:jc w:val="both"/>
        <w:textAlignment w:val="auto"/>
        <w:rPr>
          <w:rFonts w:hint="eastAsia" w:ascii="宋体" w:hAnsi="宋体" w:eastAsia="方正仿宋_GBK" w:cs="方正仿宋_GBK"/>
          <w:b/>
          <w:bCs/>
          <w:color w:val="000000"/>
          <w:sz w:val="32"/>
          <w:szCs w:val="32"/>
        </w:rPr>
      </w:pPr>
      <w:r>
        <w:rPr>
          <w:rFonts w:hint="eastAsia" w:ascii="宋体" w:hAnsi="宋体" w:eastAsia="方正仿宋_GBK" w:cs="方正仿宋_GBK"/>
          <w:b/>
          <w:bCs/>
          <w:color w:val="000000"/>
          <w:sz w:val="32"/>
          <w:szCs w:val="32"/>
        </w:rPr>
        <w:t>3．产出指标（30分）</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3.1实际完成率（8分）：我部门履行职责，202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年计划完成工作8项，实际完成工作8项，实际完成率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（实际完成工作数/计划工作数）×100%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(8／8)×100%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100%，实际得分=100%×8</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8分。</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3.2完成及时率（4分）：为完成年初制定的8项工作目标计划，我部门积极推进工作进度，在规定时限内完成工作任务数量8项，完成及时率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（8/8）×100%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100%。</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3.3质量达标率（8分）：本年度工作任务均达到绩效目标要求，各项工作有序高效开展，质量达标率</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（质量达标实际工作数/计划工作数）×100%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（8／8）×100%</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100%。</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3.4重点工作办结率（10分）：我部门在规定的时间内，高质高效完成市纪委监委和县委交办、下达的各项工作任务。</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eastAsia" w:ascii="宋体" w:hAnsi="宋体" w:eastAsia="方正楷体_GBK" w:cs="方正楷体_GBK"/>
          <w:b/>
          <w:bCs w:val="0"/>
          <w:sz w:val="32"/>
          <w:szCs w:val="32"/>
        </w:rPr>
      </w:pPr>
      <w:r>
        <w:rPr>
          <w:rFonts w:hint="eastAsia" w:ascii="宋体" w:hAnsi="宋体" w:eastAsia="方正楷体_GBK" w:cs="方正楷体_GBK"/>
          <w:b/>
          <w:bCs w:val="0"/>
          <w:sz w:val="32"/>
          <w:szCs w:val="32"/>
        </w:rPr>
        <w:t>（二）综合绩效分析</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590" w:lineRule="exact"/>
        <w:ind w:firstLine="643" w:firstLineChars="200"/>
        <w:jc w:val="both"/>
        <w:textAlignment w:val="auto"/>
        <w:rPr>
          <w:rFonts w:hint="eastAsia" w:ascii="宋体" w:hAnsi="宋体" w:eastAsia="方正仿宋_GBK" w:cs="方正仿宋_GBK"/>
          <w:b/>
          <w:bCs/>
          <w:color w:val="000000"/>
          <w:sz w:val="32"/>
          <w:szCs w:val="32"/>
        </w:rPr>
      </w:pPr>
      <w:r>
        <w:rPr>
          <w:rFonts w:hint="eastAsia" w:ascii="宋体" w:hAnsi="宋体" w:eastAsia="方正仿宋_GBK" w:cs="方正仿宋_GBK"/>
          <w:b/>
          <w:bCs/>
          <w:color w:val="000000"/>
          <w:sz w:val="32"/>
          <w:szCs w:val="32"/>
        </w:rPr>
        <w:t>1．部门职能履行情况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仿宋_GBK" w:cs="方正仿宋_GBK"/>
          <w:bCs/>
          <w:sz w:val="32"/>
          <w:szCs w:val="32"/>
        </w:rPr>
      </w:pPr>
      <w:r>
        <w:rPr>
          <w:rFonts w:hint="eastAsia" w:ascii="宋体" w:hAnsi="宋体" w:eastAsia="方正仿宋_GBK" w:cs="方正仿宋_GBK"/>
          <w:bCs/>
          <w:sz w:val="32"/>
          <w:szCs w:val="32"/>
          <w:lang w:eastAsia="zh-CN"/>
        </w:rPr>
        <w:t>在市纪委监委和县委的坚强领导下，全县</w:t>
      </w:r>
      <w:r>
        <w:rPr>
          <w:rFonts w:hint="eastAsia" w:ascii="宋体" w:hAnsi="宋体" w:eastAsia="方正仿宋_GBK" w:cs="方正仿宋_GBK"/>
          <w:bCs/>
          <w:sz w:val="32"/>
          <w:szCs w:val="32"/>
        </w:rPr>
        <w:t>纪委监</w:t>
      </w:r>
      <w:r>
        <w:rPr>
          <w:rFonts w:hint="eastAsia" w:ascii="宋体" w:hAnsi="宋体" w:eastAsia="方正仿宋_GBK" w:cs="方正仿宋_GBK"/>
          <w:bCs/>
          <w:sz w:val="32"/>
          <w:szCs w:val="32"/>
          <w:lang w:eastAsia="zh-CN"/>
        </w:rPr>
        <w:t>委系统，</w:t>
      </w:r>
      <w:r>
        <w:rPr>
          <w:rFonts w:hint="eastAsia" w:ascii="宋体" w:hAnsi="宋体" w:eastAsia="方正仿宋_GBK" w:cs="方正仿宋_GBK"/>
          <w:bCs/>
          <w:sz w:val="32"/>
          <w:szCs w:val="32"/>
        </w:rPr>
        <w:t>深入学习贯彻党的二十大和中央、省市纪委全会精神，围绕市委“突破”主题和县委“1324”战略部署，</w:t>
      </w:r>
      <w:r>
        <w:rPr>
          <w:rFonts w:hint="eastAsia" w:ascii="宋体" w:hAnsi="宋体" w:eastAsia="方正仿宋_GBK" w:cs="方正仿宋_GBK"/>
          <w:bCs/>
          <w:sz w:val="32"/>
          <w:szCs w:val="32"/>
          <w:lang w:eastAsia="zh-CN"/>
        </w:rPr>
        <w:t>担当</w:t>
      </w:r>
      <w:r>
        <w:rPr>
          <w:rFonts w:hint="eastAsia" w:ascii="宋体" w:hAnsi="宋体" w:eastAsia="方正仿宋_GBK" w:cs="方正仿宋_GBK"/>
          <w:bCs/>
          <w:sz w:val="32"/>
          <w:szCs w:val="32"/>
        </w:rPr>
        <w:t>使命</w:t>
      </w:r>
      <w:r>
        <w:rPr>
          <w:rFonts w:hint="eastAsia" w:ascii="宋体" w:hAnsi="宋体" w:eastAsia="方正仿宋_GBK" w:cs="方正仿宋_GBK"/>
          <w:bCs/>
          <w:sz w:val="32"/>
          <w:szCs w:val="32"/>
          <w:lang w:eastAsia="zh-CN"/>
        </w:rPr>
        <w:t>、</w:t>
      </w:r>
      <w:r>
        <w:rPr>
          <w:rFonts w:hint="eastAsia" w:ascii="宋体" w:hAnsi="宋体" w:eastAsia="方正仿宋_GBK" w:cs="方正仿宋_GBK"/>
          <w:bCs/>
          <w:sz w:val="32"/>
          <w:szCs w:val="32"/>
        </w:rPr>
        <w:t>忠诚履责、守正创新，推动党风廉政建设和反腐败斗争取得</w:t>
      </w:r>
      <w:r>
        <w:rPr>
          <w:rFonts w:hint="eastAsia" w:ascii="宋体" w:hAnsi="宋体" w:eastAsia="方正仿宋_GBK" w:cs="方正仿宋_GBK"/>
          <w:bCs/>
          <w:sz w:val="32"/>
          <w:szCs w:val="32"/>
          <w:lang w:eastAsia="zh-CN"/>
        </w:rPr>
        <w:t>新突破新成效，</w:t>
      </w:r>
      <w:r>
        <w:rPr>
          <w:rFonts w:hint="eastAsia" w:ascii="宋体" w:hAnsi="宋体" w:eastAsia="方正仿宋_GBK" w:cs="方正仿宋_GBK"/>
          <w:bCs/>
          <w:sz w:val="32"/>
          <w:szCs w:val="32"/>
        </w:rPr>
        <w:t>为</w:t>
      </w:r>
      <w:r>
        <w:rPr>
          <w:rFonts w:hint="eastAsia" w:ascii="宋体" w:hAnsi="宋体" w:eastAsia="方正仿宋_GBK" w:cs="方正仿宋_GBK"/>
          <w:bCs/>
          <w:sz w:val="32"/>
          <w:szCs w:val="32"/>
          <w:lang w:eastAsia="zh-CN"/>
        </w:rPr>
        <w:t>安岳</w:t>
      </w:r>
      <w:r>
        <w:rPr>
          <w:rFonts w:hint="eastAsia" w:ascii="宋体" w:hAnsi="宋体" w:eastAsia="方正仿宋_GBK" w:cs="方正仿宋_GBK"/>
          <w:bCs/>
          <w:sz w:val="32"/>
          <w:szCs w:val="32"/>
        </w:rPr>
        <w:t>现代化建设提供了坚强保障。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方正楷体_GBK" w:cs="方正楷体_GBK"/>
          <w:b/>
          <w:bCs/>
          <w:sz w:val="32"/>
          <w:szCs w:val="32"/>
          <w:lang w:val="en-US" w:eastAsia="zh-CN"/>
        </w:rPr>
      </w:pPr>
      <w:r>
        <w:rPr>
          <w:rFonts w:hint="eastAsia" w:ascii="宋体" w:hAnsi="宋体" w:eastAsia="方正楷体_GBK" w:cs="方正楷体_GBK"/>
          <w:b/>
          <w:bCs/>
          <w:sz w:val="32"/>
          <w:szCs w:val="32"/>
          <w:lang w:val="en-US" w:eastAsia="zh-CN"/>
        </w:rPr>
        <w:t>一是护航中心大局，政治监督质效进一步提升。</w:t>
      </w:r>
      <w:r>
        <w:rPr>
          <w:rFonts w:hint="eastAsia" w:ascii="宋体" w:hAnsi="宋体" w:eastAsia="方正仿宋简体" w:cs="方正仿宋简体"/>
          <w:color w:val="auto"/>
          <w:sz w:val="32"/>
          <w:szCs w:val="32"/>
        </w:rPr>
        <w:t>聚焦</w:t>
      </w:r>
      <w:r>
        <w:rPr>
          <w:rFonts w:hint="eastAsia" w:ascii="宋体" w:hAnsi="宋体" w:eastAsia="方正仿宋_GBK" w:cs="方正仿宋_GBK"/>
          <w:kern w:val="2"/>
          <w:sz w:val="32"/>
          <w:szCs w:val="32"/>
          <w:lang w:val="en-US" w:eastAsia="zh-CN" w:bidi="ar-SA"/>
        </w:rPr>
        <w:t>乡村振兴、粮食安全、安全生产</w:t>
      </w:r>
      <w:r>
        <w:rPr>
          <w:rFonts w:hint="eastAsia" w:ascii="宋体" w:hAnsi="宋体" w:eastAsia="方正仿宋简体" w:cs="方正仿宋简体"/>
          <w:color w:val="auto"/>
          <w:sz w:val="32"/>
          <w:szCs w:val="32"/>
        </w:rPr>
        <w:t>等</w:t>
      </w:r>
      <w:r>
        <w:rPr>
          <w:rFonts w:hint="eastAsia" w:ascii="宋体" w:hAnsi="宋体" w:eastAsia="方正仿宋_GBK"/>
          <w:sz w:val="32"/>
          <w:szCs w:val="32"/>
        </w:rPr>
        <w:t>“国之大者”开展立项监督12个</w:t>
      </w:r>
      <w:r>
        <w:rPr>
          <w:rFonts w:hint="eastAsia" w:ascii="宋体" w:hAnsi="宋体" w:eastAsia="方正仿宋_GBK"/>
          <w:sz w:val="32"/>
          <w:szCs w:val="32"/>
          <w:lang w:eastAsia="zh-CN"/>
        </w:rPr>
        <w:t>，</w:t>
      </w:r>
      <w:r>
        <w:rPr>
          <w:rFonts w:hint="eastAsia" w:ascii="宋体" w:hAnsi="宋体" w:eastAsia="方正仿宋_GBK" w:cs="方正仿宋_GBK"/>
          <w:kern w:val="2"/>
          <w:sz w:val="32"/>
          <w:szCs w:val="32"/>
          <w:lang w:val="en-US" w:eastAsia="zh-CN" w:bidi="ar-SA"/>
        </w:rPr>
        <w:t>监督检查2700余次、督促整改问题2600余个，通报典型案例10批34件次，结对帮扶</w:t>
      </w:r>
      <w:r>
        <w:rPr>
          <w:rFonts w:hint="eastAsia" w:ascii="宋体" w:hAnsi="宋体" w:eastAsia="方正仿宋_GBK" w:cs="宋体"/>
          <w:kern w:val="2"/>
          <w:sz w:val="32"/>
          <w:szCs w:val="32"/>
          <w:lang w:val="en-US" w:eastAsia="zh-CN" w:bidi="ar-SA"/>
        </w:rPr>
        <w:t>成渝中线高铁、毗河供水等13个重点项目和37户重点企业，</w:t>
      </w:r>
      <w:r>
        <w:rPr>
          <w:rFonts w:hint="eastAsia" w:ascii="宋体" w:hAnsi="宋体" w:eastAsia="方正仿宋_GBK" w:cs="宋体"/>
          <w:sz w:val="32"/>
          <w:szCs w:val="32"/>
          <w:u w:val="none"/>
        </w:rPr>
        <w:t>设置</w:t>
      </w:r>
      <w:r>
        <w:rPr>
          <w:rFonts w:hint="eastAsia" w:ascii="宋体" w:hAnsi="宋体" w:eastAsia="方正仿宋_GBK" w:cs="方正仿宋_GBK"/>
          <w:sz w:val="32"/>
          <w:szCs w:val="32"/>
          <w:u w:val="none"/>
        </w:rPr>
        <w:t>监测点</w:t>
      </w:r>
      <w:r>
        <w:rPr>
          <w:rFonts w:hint="eastAsia" w:ascii="宋体" w:hAnsi="宋体" w:eastAsia="方正仿宋_GBK" w:cs="方正仿宋_GBK"/>
          <w:sz w:val="32"/>
          <w:szCs w:val="32"/>
          <w:u w:val="none"/>
          <w:lang w:val="en-US" w:eastAsia="zh-CN"/>
        </w:rPr>
        <w:t>48个</w:t>
      </w:r>
      <w:r>
        <w:rPr>
          <w:rFonts w:hint="eastAsia" w:ascii="宋体" w:hAnsi="宋体" w:eastAsia="方正仿宋_GBK" w:cs="方正仿宋_GBK"/>
          <w:sz w:val="32"/>
          <w:szCs w:val="32"/>
          <w:u w:val="none"/>
        </w:rPr>
        <w:t>，</w:t>
      </w:r>
      <w:r>
        <w:rPr>
          <w:rFonts w:hint="eastAsia" w:ascii="宋体" w:hAnsi="宋体" w:eastAsia="方正仿宋_GBK" w:cs="宋体"/>
          <w:kern w:val="2"/>
          <w:sz w:val="32"/>
          <w:szCs w:val="32"/>
          <w:lang w:val="en-US" w:eastAsia="zh-CN" w:bidi="ar-SA"/>
        </w:rPr>
        <w:t>开展联合监督检查3轮次，以“小切口”专项治理的方式处理“挂证”公职人员35人、收缴违纪违法所得15.4万元，查处破坏营商环境问题36人</w:t>
      </w:r>
      <w:r>
        <w:rPr>
          <w:rFonts w:hint="eastAsia" w:ascii="宋体" w:hAnsi="宋体" w:eastAsia="方正仿宋_GBK" w:cs="方正仿宋_GBK"/>
          <w:sz w:val="32"/>
          <w:szCs w:val="32"/>
          <w:u w:val="none"/>
        </w:rPr>
        <w:t>。</w:t>
      </w:r>
      <w:r>
        <w:rPr>
          <w:rFonts w:hint="eastAsia" w:ascii="宋体" w:hAnsi="宋体" w:eastAsia="方正仿宋_GBK" w:cs="宋体"/>
          <w:kern w:val="2"/>
          <w:sz w:val="32"/>
          <w:szCs w:val="32"/>
          <w:lang w:val="en-US" w:eastAsia="zh-CN" w:bidi="ar-SA"/>
        </w:rPr>
        <w:t>开展成渝中线高铁、资大文旅融合等跨省项目监督30余次、问题整改40余个，</w:t>
      </w:r>
      <w:r>
        <w:rPr>
          <w:rFonts w:hint="eastAsia" w:ascii="宋体" w:hAnsi="宋体" w:eastAsia="方正仿宋简体" w:cs="方正仿宋简体"/>
          <w:b w:val="0"/>
          <w:bCs w:val="0"/>
          <w:kern w:val="0"/>
          <w:sz w:val="32"/>
          <w:szCs w:val="32"/>
          <w:u w:val="none"/>
          <w:lang w:val="en-US" w:eastAsia="zh-CN" w:bidi="ar-SA"/>
        </w:rPr>
        <w:t>共同解决断头路、连心桥和柠檬、楠木产业协同发展等交界地带民生诉求20个，</w:t>
      </w:r>
      <w:r>
        <w:rPr>
          <w:rFonts w:hint="eastAsia" w:ascii="宋体" w:hAnsi="宋体" w:eastAsia="方正仿宋_GBK" w:cs="宋体"/>
          <w:kern w:val="2"/>
          <w:sz w:val="32"/>
          <w:szCs w:val="32"/>
          <w:lang w:val="en-US" w:eastAsia="zh-CN" w:bidi="ar-SA"/>
        </w:rPr>
        <w:t>推动取得开通成渝交界公交、推行市场准入“异地同标”等成效。</w:t>
      </w:r>
      <w:r>
        <w:rPr>
          <w:rFonts w:hint="eastAsia" w:ascii="宋体" w:hAnsi="宋体" w:eastAsia="方正仿宋_GBK" w:cs="方正仿宋_GBK"/>
          <w:sz w:val="32"/>
          <w:szCs w:val="32"/>
          <w:lang w:val="en-US" w:eastAsia="zh-CN"/>
        </w:rPr>
        <w:t xml:space="preserve">  </w:t>
      </w:r>
      <w:r>
        <w:rPr>
          <w:rFonts w:hint="eastAsia" w:ascii="宋体" w:hAnsi="宋体" w:eastAsia="方正楷体_GBK" w:cs="方正楷体_GBK"/>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方正仿宋简体" w:cs="Times New Roman"/>
          <w:b w:val="0"/>
          <w:i w:val="0"/>
          <w:caps w:val="0"/>
          <w:color w:val="auto"/>
          <w:spacing w:val="0"/>
          <w:w w:val="100"/>
          <w:kern w:val="2"/>
          <w:sz w:val="32"/>
          <w:szCs w:val="32"/>
          <w:lang w:val="en-US" w:eastAsia="zh-CN" w:bidi="ar-SA"/>
        </w:rPr>
      </w:pPr>
      <w:r>
        <w:rPr>
          <w:rFonts w:hint="eastAsia" w:ascii="宋体" w:hAnsi="宋体" w:eastAsia="方正楷体_GBK" w:cs="方正楷体_GBK"/>
          <w:b/>
          <w:bCs/>
          <w:sz w:val="32"/>
          <w:szCs w:val="32"/>
          <w:lang w:val="en-US" w:eastAsia="zh-CN"/>
        </w:rPr>
        <w:t>二是突出标本兼治，反腐败斗争压倒性胜利进一步拓展。</w:t>
      </w:r>
      <w:r>
        <w:rPr>
          <w:rFonts w:hint="eastAsia" w:ascii="宋体" w:hAnsi="宋体" w:eastAsia="方正仿宋_GBK" w:cs="方正仿宋_GBK"/>
          <w:sz w:val="32"/>
          <w:szCs w:val="32"/>
        </w:rPr>
        <w:t>全</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rPr>
        <w:t>共受理问题线索</w:t>
      </w:r>
      <w:r>
        <w:rPr>
          <w:rFonts w:hint="eastAsia" w:ascii="宋体" w:hAnsi="宋体" w:eastAsia="方正仿宋_GBK" w:cs="方正仿宋_GBK"/>
          <w:sz w:val="32"/>
          <w:szCs w:val="32"/>
          <w:lang w:val="en-US" w:eastAsia="zh-CN"/>
        </w:rPr>
        <w:t>847</w:t>
      </w:r>
      <w:r>
        <w:rPr>
          <w:rFonts w:hint="eastAsia" w:ascii="宋体" w:hAnsi="宋体" w:eastAsia="方正仿宋_GBK" w:cs="方正仿宋_GBK"/>
          <w:sz w:val="32"/>
          <w:szCs w:val="32"/>
        </w:rPr>
        <w:t>件，处置问题线索</w:t>
      </w:r>
      <w:r>
        <w:rPr>
          <w:rFonts w:hint="eastAsia" w:ascii="宋体" w:hAnsi="宋体" w:eastAsia="方正仿宋_GBK" w:cs="方正仿宋_GBK"/>
          <w:sz w:val="32"/>
          <w:szCs w:val="32"/>
          <w:lang w:val="en-US" w:eastAsia="zh-CN"/>
        </w:rPr>
        <w:t>815</w:t>
      </w:r>
      <w:r>
        <w:rPr>
          <w:rFonts w:hint="eastAsia" w:ascii="宋体" w:hAnsi="宋体" w:eastAsia="方正仿宋_GBK" w:cs="方正仿宋_GBK"/>
          <w:sz w:val="32"/>
          <w:szCs w:val="32"/>
        </w:rPr>
        <w:t>件，立案</w:t>
      </w:r>
      <w:r>
        <w:rPr>
          <w:rFonts w:hint="eastAsia" w:ascii="宋体" w:hAnsi="宋体" w:eastAsia="方正仿宋_GBK" w:cs="方正仿宋_GBK"/>
          <w:sz w:val="32"/>
          <w:szCs w:val="32"/>
          <w:lang w:val="en-US" w:eastAsia="zh-CN"/>
        </w:rPr>
        <w:t>377</w:t>
      </w:r>
      <w:r>
        <w:rPr>
          <w:rFonts w:hint="eastAsia" w:ascii="宋体" w:hAnsi="宋体" w:eastAsia="方正仿宋_GBK" w:cs="方正仿宋_GBK"/>
          <w:sz w:val="32"/>
          <w:szCs w:val="32"/>
          <w:lang w:eastAsia="zh-CN"/>
        </w:rPr>
        <w:t>件</w:t>
      </w:r>
      <w:r>
        <w:rPr>
          <w:rFonts w:hint="eastAsia" w:ascii="宋体" w:hAnsi="宋体" w:eastAsia="方正仿宋_GBK" w:cs="方正仿宋_GBK"/>
          <w:sz w:val="32"/>
          <w:szCs w:val="32"/>
          <w:lang w:val="en-US" w:eastAsia="zh-CN"/>
        </w:rPr>
        <w:t>386人</w:t>
      </w:r>
      <w:r>
        <w:rPr>
          <w:rFonts w:hint="eastAsia" w:ascii="宋体" w:hAnsi="宋体" w:eastAsia="方正仿宋_GBK" w:cs="方正仿宋_GBK"/>
          <w:sz w:val="32"/>
          <w:szCs w:val="32"/>
        </w:rPr>
        <w:t>，处分</w:t>
      </w:r>
      <w:r>
        <w:rPr>
          <w:rFonts w:hint="eastAsia" w:ascii="宋体" w:hAnsi="宋体" w:eastAsia="方正仿宋_GBK" w:cs="方正仿宋_GBK"/>
          <w:sz w:val="32"/>
          <w:szCs w:val="32"/>
          <w:lang w:val="en-US" w:eastAsia="zh-CN"/>
        </w:rPr>
        <w:t>353</w:t>
      </w:r>
      <w:r>
        <w:rPr>
          <w:rFonts w:hint="eastAsia" w:ascii="宋体" w:hAnsi="宋体" w:eastAsia="方正仿宋_GBK" w:cs="方正仿宋_GBK"/>
          <w:sz w:val="32"/>
          <w:szCs w:val="32"/>
        </w:rPr>
        <w:t>人</w:t>
      </w:r>
      <w:r>
        <w:rPr>
          <w:rFonts w:hint="eastAsia" w:ascii="宋体" w:hAnsi="宋体" w:eastAsia="方正仿宋_GBK" w:cs="方正仿宋_GBK"/>
          <w:sz w:val="32"/>
          <w:szCs w:val="32"/>
          <w:lang w:val="en-US" w:eastAsia="zh-CN"/>
        </w:rPr>
        <w:t>（其中科级干部39人）</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留置</w:t>
      </w:r>
      <w:r>
        <w:rPr>
          <w:rFonts w:hint="eastAsia" w:ascii="宋体" w:hAnsi="宋体" w:eastAsia="方正仿宋_GBK" w:cs="方正仿宋_GBK"/>
          <w:sz w:val="32"/>
          <w:szCs w:val="32"/>
          <w:lang w:val="en-US" w:eastAsia="zh-CN"/>
        </w:rPr>
        <w:t>14</w:t>
      </w:r>
      <w:r>
        <w:rPr>
          <w:rFonts w:hint="eastAsia" w:ascii="宋体" w:hAnsi="宋体" w:eastAsia="方正仿宋_GBK" w:cs="方正仿宋_GBK"/>
          <w:sz w:val="32"/>
          <w:szCs w:val="32"/>
        </w:rPr>
        <w:t>人，移送司法</w:t>
      </w:r>
      <w:r>
        <w:rPr>
          <w:rFonts w:hint="eastAsia" w:ascii="宋体" w:hAnsi="宋体" w:eastAsia="方正仿宋_GBK" w:cs="方正仿宋_GBK"/>
          <w:sz w:val="32"/>
          <w:szCs w:val="32"/>
          <w:lang w:val="en-US" w:eastAsia="zh-CN"/>
        </w:rPr>
        <w:t>10</w:t>
      </w:r>
      <w:r>
        <w:rPr>
          <w:rFonts w:hint="eastAsia" w:ascii="宋体" w:hAnsi="宋体" w:eastAsia="方正仿宋_GBK" w:cs="方正仿宋_GBK"/>
          <w:sz w:val="32"/>
          <w:szCs w:val="32"/>
        </w:rPr>
        <w:t>人，</w:t>
      </w:r>
      <w:r>
        <w:rPr>
          <w:rFonts w:hint="eastAsia" w:ascii="宋体" w:hAnsi="宋体" w:eastAsia="方正仿宋_GBK" w:cs="方正仿宋_GBK"/>
          <w:sz w:val="32"/>
          <w:szCs w:val="32"/>
          <w:lang w:eastAsia="zh-CN"/>
        </w:rPr>
        <w:t>收缴违纪违法及职务犯罪款</w:t>
      </w:r>
      <w:r>
        <w:rPr>
          <w:rFonts w:hint="eastAsia" w:ascii="宋体" w:hAnsi="宋体" w:eastAsia="方正仿宋_GBK" w:cs="方正仿宋_GBK"/>
          <w:sz w:val="32"/>
          <w:szCs w:val="32"/>
          <w:lang w:val="en-US" w:eastAsia="zh-CN"/>
        </w:rPr>
        <w:t>918万元</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挽回经济损失2134万元</w:t>
      </w:r>
      <w:r>
        <w:rPr>
          <w:rFonts w:hint="eastAsia" w:ascii="宋体" w:hAnsi="宋体" w:eastAsia="方正仿宋_GBK" w:cs="方正仿宋_GBK"/>
          <w:sz w:val="32"/>
          <w:szCs w:val="32"/>
        </w:rPr>
        <w:t>，不敢腐的震慑进一步强化。</w:t>
      </w:r>
      <w:r>
        <w:rPr>
          <w:rFonts w:hint="eastAsia" w:ascii="宋体" w:hAnsi="宋体" w:eastAsia="方正仿宋_GBK" w:cs="方正仿宋_GBK"/>
          <w:sz w:val="32"/>
          <w:szCs w:val="32"/>
          <w:lang w:val="en-US" w:eastAsia="zh-CN"/>
        </w:rPr>
        <w:t>开展“廉政教育课”“清风满家伴我行”等活动10余场，</w:t>
      </w:r>
      <w:r>
        <w:rPr>
          <w:rFonts w:hint="eastAsia" w:ascii="宋体" w:hAnsi="宋体" w:eastAsia="方正仿宋_GBK" w:cs="方正仿宋_GBK"/>
          <w:sz w:val="32"/>
          <w:szCs w:val="32"/>
        </w:rPr>
        <w:t>廉洁文创作品《大小王》在《廉洁四川》展播。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方正楷体_GBK" w:cs="方正楷体_GBK"/>
          <w:b/>
          <w:bCs/>
          <w:sz w:val="32"/>
          <w:szCs w:val="32"/>
          <w:lang w:val="en-US" w:eastAsia="zh-CN"/>
        </w:rPr>
      </w:pPr>
      <w:r>
        <w:rPr>
          <w:rFonts w:hint="eastAsia" w:ascii="宋体" w:hAnsi="宋体" w:eastAsia="方正楷体_GBK" w:cs="方正楷体_GBK"/>
          <w:b/>
          <w:bCs/>
          <w:sz w:val="32"/>
          <w:szCs w:val="32"/>
          <w:lang w:val="en-US" w:eastAsia="zh-CN"/>
        </w:rPr>
        <w:t>三是坚持纠树并举，正风肃纪成效进一步巩固。</w:t>
      </w:r>
      <w:r>
        <w:rPr>
          <w:rFonts w:hint="eastAsia" w:ascii="宋体" w:hAnsi="宋体" w:eastAsia="方正仿宋_GBK" w:cs="方正仿宋_GBK"/>
          <w:b/>
          <w:bCs/>
          <w:sz w:val="32"/>
          <w:szCs w:val="32"/>
          <w:lang w:val="en-US" w:eastAsia="zh-CN"/>
        </w:rPr>
        <w:t>深入纠治“四风”。</w:t>
      </w:r>
      <w:r>
        <w:rPr>
          <w:rFonts w:hint="eastAsia" w:ascii="宋体" w:hAnsi="宋体" w:eastAsia="方正仿宋_GBK" w:cs="方正仿宋_GBK"/>
          <w:sz w:val="32"/>
          <w:szCs w:val="32"/>
          <w:lang w:val="en-US" w:eastAsia="zh-CN"/>
        </w:rPr>
        <w:t>节假日监督检查3轮，2023年查处违反中央八项规定精神问题43件59人</w:t>
      </w:r>
      <w:r>
        <w:rPr>
          <w:rFonts w:hint="eastAsia" w:ascii="宋体" w:hAnsi="宋体" w:eastAsia="方正仿宋_GBK" w:cs="方正仿宋_GBK"/>
          <w:sz w:val="32"/>
          <w:szCs w:val="32"/>
        </w:rPr>
        <w:t>。</w:t>
      </w:r>
      <w:r>
        <w:rPr>
          <w:rFonts w:hint="eastAsia" w:ascii="宋体" w:hAnsi="宋体" w:eastAsia="方正仿宋_GBK" w:cs="宋体"/>
          <w:bCs/>
          <w:kern w:val="2"/>
          <w:sz w:val="32"/>
          <w:szCs w:val="32"/>
          <w:lang w:val="en-US" w:eastAsia="zh-CN" w:bidi="ar-SA"/>
        </w:rPr>
        <w:t>紧盯重点行业、重点领域及关键环节、关键对象，推动农村乱占耕地建房专项整治、村（社区）集体“三资”提级监督等16项专项整治，查处“四风”问题29人。</w:t>
      </w:r>
      <w:r>
        <w:rPr>
          <w:rFonts w:hint="eastAsia" w:ascii="宋体" w:hAnsi="宋体" w:eastAsia="方正仿宋_GBK" w:cs="方正仿宋_GBK"/>
          <w:b/>
          <w:bCs/>
          <w:sz w:val="32"/>
          <w:szCs w:val="32"/>
          <w:lang w:val="en-US" w:eastAsia="zh-CN"/>
        </w:rPr>
        <w:t>深化作风建设。</w:t>
      </w:r>
      <w:r>
        <w:rPr>
          <w:rFonts w:hint="eastAsia" w:ascii="宋体" w:hAnsi="宋体" w:eastAsia="方正仿宋_GBK" w:cs="方正仿宋_GBK"/>
          <w:bCs/>
          <w:color w:val="auto"/>
          <w:sz w:val="32"/>
          <w:szCs w:val="32"/>
          <w:lang w:eastAsia="zh-CN"/>
        </w:rPr>
        <w:t>建成</w:t>
      </w:r>
      <w:r>
        <w:rPr>
          <w:rFonts w:hint="eastAsia" w:ascii="宋体" w:hAnsi="宋体" w:eastAsia="方正仿宋_GBK" w:cs="方正仿宋_GBK"/>
          <w:bCs/>
          <w:color w:val="auto"/>
          <w:sz w:val="32"/>
          <w:szCs w:val="32"/>
          <w:lang w:val="en-US" w:eastAsia="zh-CN"/>
        </w:rPr>
        <w:t>命名</w:t>
      </w:r>
      <w:r>
        <w:rPr>
          <w:rFonts w:hint="eastAsia" w:ascii="宋体" w:hAnsi="宋体" w:eastAsia="方正仿宋_GBK" w:cs="方正仿宋_GBK"/>
          <w:bCs/>
          <w:color w:val="auto"/>
          <w:sz w:val="32"/>
          <w:szCs w:val="32"/>
        </w:rPr>
        <w:t>清廉</w:t>
      </w:r>
      <w:r>
        <w:rPr>
          <w:rFonts w:hint="eastAsia" w:ascii="宋体" w:hAnsi="宋体" w:eastAsia="方正仿宋_GBK" w:cs="方正仿宋_GBK"/>
          <w:bCs/>
          <w:color w:val="auto"/>
          <w:sz w:val="32"/>
          <w:szCs w:val="32"/>
          <w:lang w:val="en-US" w:eastAsia="zh-CN"/>
        </w:rPr>
        <w:t>安岳</w:t>
      </w:r>
      <w:r>
        <w:rPr>
          <w:rFonts w:hint="eastAsia" w:ascii="宋体" w:hAnsi="宋体" w:eastAsia="方正仿宋_GBK" w:cs="方正仿宋_GBK"/>
          <w:bCs/>
          <w:color w:val="auto"/>
          <w:sz w:val="32"/>
          <w:szCs w:val="32"/>
          <w:lang w:eastAsia="zh-CN"/>
        </w:rPr>
        <w:t>细胞</w:t>
      </w:r>
      <w:r>
        <w:rPr>
          <w:rFonts w:hint="eastAsia" w:ascii="宋体" w:hAnsi="宋体" w:eastAsia="方正仿宋_GBK" w:cs="方正仿宋_GBK"/>
          <w:bCs/>
          <w:color w:val="auto"/>
          <w:sz w:val="32"/>
          <w:szCs w:val="32"/>
        </w:rPr>
        <w:t>8</w:t>
      </w:r>
      <w:r>
        <w:rPr>
          <w:rFonts w:hint="eastAsia" w:ascii="宋体" w:hAnsi="宋体" w:eastAsia="方正仿宋_GBK" w:cs="方正仿宋_GBK"/>
          <w:bCs/>
          <w:color w:val="auto"/>
          <w:sz w:val="32"/>
          <w:szCs w:val="32"/>
          <w:lang w:val="en-US" w:eastAsia="zh-CN"/>
        </w:rPr>
        <w:t>8</w:t>
      </w:r>
      <w:r>
        <w:rPr>
          <w:rFonts w:hint="eastAsia" w:ascii="宋体" w:hAnsi="宋体" w:eastAsia="方正仿宋_GBK" w:cs="方正仿宋_GBK"/>
          <w:bCs/>
          <w:color w:val="auto"/>
          <w:sz w:val="32"/>
          <w:szCs w:val="32"/>
        </w:rPr>
        <w:t>个</w:t>
      </w:r>
      <w:r>
        <w:rPr>
          <w:rFonts w:hint="eastAsia" w:ascii="宋体" w:hAnsi="宋体" w:eastAsia="方正仿宋_GBK" w:cs="方正仿宋_GBK"/>
          <w:bCs/>
          <w:color w:val="auto"/>
          <w:sz w:val="32"/>
          <w:szCs w:val="32"/>
          <w:lang w:eastAsia="zh-CN"/>
        </w:rPr>
        <w:t>，</w:t>
      </w:r>
      <w:r>
        <w:rPr>
          <w:rFonts w:hint="eastAsia" w:ascii="宋体" w:hAnsi="宋体" w:eastAsia="方正仿宋_GBK" w:cs="方正仿宋_GBK"/>
          <w:bCs/>
          <w:color w:val="auto"/>
          <w:sz w:val="32"/>
          <w:szCs w:val="32"/>
          <w:lang w:val="en-US" w:eastAsia="zh-CN"/>
        </w:rPr>
        <w:t>实现“一细胞一特色”</w:t>
      </w:r>
      <w:r>
        <w:rPr>
          <w:rFonts w:hint="eastAsia" w:ascii="宋体" w:hAnsi="宋体" w:eastAsia="方正仿宋_GBK" w:cs="方正仿宋_GBK"/>
          <w:bCs/>
          <w:color w:val="auto"/>
          <w:sz w:val="32"/>
          <w:szCs w:val="32"/>
        </w:rPr>
        <w:t>。</w:t>
      </w:r>
      <w:r>
        <w:rPr>
          <w:rFonts w:hint="eastAsia" w:ascii="宋体" w:hAnsi="宋体" w:eastAsia="方正仿宋_GBK" w:cs="方正仿宋_GBK"/>
          <w:sz w:val="32"/>
          <w:szCs w:val="32"/>
          <w:u w:val="none"/>
        </w:rPr>
        <w:t>组织纪检干部开展“家访·说廉”</w:t>
      </w:r>
      <w:r>
        <w:rPr>
          <w:rFonts w:hint="eastAsia" w:ascii="宋体" w:hAnsi="宋体" w:eastAsia="方正仿宋_GBK" w:cs="方正仿宋_GBK"/>
          <w:sz w:val="32"/>
          <w:szCs w:val="32"/>
          <w:u w:val="none"/>
          <w:lang w:eastAsia="zh-CN"/>
        </w:rPr>
        <w:t>，</w:t>
      </w:r>
      <w:r>
        <w:rPr>
          <w:rFonts w:hint="eastAsia" w:ascii="宋体" w:hAnsi="宋体" w:eastAsia="方正仿宋简体" w:cs="Times New Roman"/>
          <w:b w:val="0"/>
          <w:bCs/>
          <w:color w:val="auto"/>
          <w:spacing w:val="0"/>
          <w:w w:val="100"/>
          <w:kern w:val="0"/>
          <w:sz w:val="32"/>
          <w:szCs w:val="32"/>
          <w:u w:val="none"/>
          <w:lang w:val="en-US" w:eastAsia="zh-CN"/>
        </w:rPr>
        <w:t>重申</w:t>
      </w:r>
      <w:r>
        <w:rPr>
          <w:rFonts w:hint="eastAsia" w:ascii="宋体" w:hAnsi="宋体" w:eastAsia="方正仿宋_GBK" w:cs="方正仿宋_GBK"/>
          <w:kern w:val="2"/>
          <w:sz w:val="32"/>
          <w:szCs w:val="32"/>
          <w:lang w:val="en-US" w:eastAsia="zh-CN" w:bidi="ar-SA"/>
        </w:rPr>
        <w:t>“禁酒令”等规定，违纪违法行为得到有力遏制。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楷体_GBK" w:cs="方正楷体_GBK"/>
          <w:b/>
          <w:bCs/>
          <w:sz w:val="32"/>
          <w:szCs w:val="32"/>
          <w:lang w:val="en-US" w:eastAsia="zh-CN"/>
        </w:rPr>
        <w:t>四是贯彻严的要求，党的纪律建设进一步做实。</w:t>
      </w:r>
      <w:r>
        <w:rPr>
          <w:rFonts w:hint="eastAsia" w:ascii="宋体" w:hAnsi="宋体" w:eastAsia="方正仿宋_GBK" w:cs="方正仿宋_GBK"/>
          <w:sz w:val="32"/>
          <w:szCs w:val="32"/>
          <w:lang w:val="en-US" w:eastAsia="zh-CN"/>
        </w:rPr>
        <w:t>运用“四种形态”批评教育帮助和处理725人次，其中第一、二种形态占90.8%。坚持“三个区分开来”，回访教育110人次，澄清正名3人。实事求是、精准规范问责环境保护、安全生产等领域失责问题25人，问责“12</w:t>
      </w:r>
      <w:r>
        <w:rPr>
          <w:rFonts w:hint="eastAsia" w:ascii="宋体" w:hAnsi="宋体" w:eastAsia="宋体" w:cs="宋体"/>
          <w:sz w:val="32"/>
          <w:szCs w:val="32"/>
          <w:lang w:val="en-US" w:eastAsia="zh-CN"/>
        </w:rPr>
        <w:t>·</w:t>
      </w:r>
      <w:r>
        <w:rPr>
          <w:rFonts w:hint="eastAsia" w:ascii="宋体" w:hAnsi="宋体" w:eastAsia="方正仿宋_GBK" w:cs="方正仿宋_GBK"/>
          <w:sz w:val="32"/>
          <w:szCs w:val="32"/>
          <w:lang w:val="en-US" w:eastAsia="zh-CN"/>
        </w:rPr>
        <w:t>13”道路交通安全事故9人。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宋体" w:hAnsi="宋体" w:eastAsia="方正楷体_GBK" w:cs="方正楷体_GBK"/>
          <w:b/>
          <w:bCs/>
          <w:sz w:val="32"/>
          <w:szCs w:val="32"/>
          <w:lang w:val="en-US" w:eastAsia="zh-CN"/>
        </w:rPr>
      </w:pPr>
      <w:r>
        <w:rPr>
          <w:rFonts w:hint="eastAsia" w:ascii="宋体" w:hAnsi="宋体" w:eastAsia="方正楷体_GBK" w:cs="方正楷体_GBK"/>
          <w:b/>
          <w:bCs/>
          <w:sz w:val="32"/>
          <w:szCs w:val="32"/>
          <w:lang w:val="en-US" w:eastAsia="zh-CN"/>
        </w:rPr>
        <w:t>五是坚持综合施策，巡察利剑作用进一步彰显。</w:t>
      </w:r>
      <w:r>
        <w:rPr>
          <w:rFonts w:hint="eastAsia" w:ascii="宋体" w:hAnsi="宋体" w:eastAsia="方正仿宋_GBK" w:cs="方正仿宋_GBK"/>
          <w:color w:val="000000"/>
          <w:sz w:val="32"/>
          <w:szCs w:val="32"/>
          <w:lang w:val="en-US" w:eastAsia="zh-CN"/>
        </w:rPr>
        <w:t>压茬推进3轮常规巡察、1轮村（社区）专项巡</w:t>
      </w:r>
      <w:r>
        <w:rPr>
          <w:rFonts w:hint="eastAsia" w:ascii="宋体" w:hAnsi="宋体" w:eastAsia="方正仿宋_GBK" w:cs="方正仿宋_GBK"/>
          <w:color w:val="auto"/>
          <w:sz w:val="32"/>
          <w:szCs w:val="32"/>
          <w:lang w:val="en-US" w:eastAsia="zh-CN"/>
        </w:rPr>
        <w:t>察和1轮道路交通安全领域纪律作风专项巡察</w:t>
      </w:r>
      <w:r>
        <w:rPr>
          <w:rFonts w:hint="eastAsia" w:ascii="宋体" w:hAnsi="宋体" w:eastAsia="方正仿宋_GBK" w:cs="方正仿宋_GBK"/>
          <w:color w:val="auto"/>
          <w:sz w:val="32"/>
          <w:szCs w:val="32"/>
          <w:highlight w:val="none"/>
          <w:lang w:val="en-US" w:eastAsia="zh-CN"/>
        </w:rPr>
        <w:t>，十四届县委巡察部门乡镇全覆盖任务完成率达65.22%、村（社区）全覆盖任务完成率达53.70%</w:t>
      </w:r>
      <w:r>
        <w:rPr>
          <w:rFonts w:hint="eastAsia" w:ascii="宋体" w:hAnsi="宋体" w:eastAsia="方正仿宋_GBK" w:cs="方正仿宋_GBK"/>
          <w:b/>
          <w:bCs/>
          <w:sz w:val="32"/>
          <w:szCs w:val="32"/>
          <w:lang w:val="en-US" w:eastAsia="zh-CN"/>
        </w:rPr>
        <w:t>。</w:t>
      </w:r>
      <w:r>
        <w:rPr>
          <w:rFonts w:hint="eastAsia" w:ascii="宋体" w:hAnsi="宋体" w:eastAsia="方正仿宋_GBK" w:cs="方正仿宋_GBK"/>
          <w:kern w:val="0"/>
          <w:sz w:val="32"/>
          <w:szCs w:val="32"/>
          <w:lang w:eastAsia="zh-CN"/>
        </w:rPr>
        <w:t>全力支持配合</w:t>
      </w:r>
      <w:r>
        <w:rPr>
          <w:rFonts w:hint="eastAsia" w:ascii="宋体" w:hAnsi="宋体" w:eastAsia="方正仿宋_GBK" w:cs="方正仿宋_GBK"/>
          <w:color w:val="auto"/>
          <w:kern w:val="0"/>
          <w:sz w:val="32"/>
          <w:szCs w:val="32"/>
          <w:lang w:eastAsia="zh-CN"/>
        </w:rPr>
        <w:t>省县联动巡察、</w:t>
      </w:r>
      <w:r>
        <w:rPr>
          <w:rFonts w:hint="eastAsia" w:ascii="宋体" w:hAnsi="宋体" w:eastAsia="方正仿宋_GBK" w:cs="方正仿宋_GBK"/>
          <w:color w:val="auto"/>
          <w:sz w:val="32"/>
          <w:szCs w:val="32"/>
          <w:lang w:val="en-US" w:eastAsia="zh-CN"/>
        </w:rPr>
        <w:t>市委提级巡察交叉联动巡察，强化“巡纪审”联动，</w:t>
      </w:r>
      <w:r>
        <w:rPr>
          <w:rFonts w:hint="eastAsia" w:ascii="宋体" w:hAnsi="宋体" w:eastAsia="方正仿宋_GBK" w:cs="方正仿宋_GBK"/>
          <w:kern w:val="2"/>
          <w:sz w:val="32"/>
          <w:szCs w:val="32"/>
          <w:lang w:val="en-US" w:eastAsia="zh-CN" w:bidi="ar-SA"/>
        </w:rPr>
        <w:t>建立健全《</w:t>
      </w:r>
      <w:r>
        <w:rPr>
          <w:rFonts w:hint="eastAsia" w:ascii="宋体" w:hAnsi="宋体" w:eastAsia="方正仿宋_GBK" w:cs="方正仿宋_GBK"/>
          <w:spacing w:val="6"/>
          <w:sz w:val="33"/>
          <w:szCs w:val="33"/>
          <w:lang w:val="en-US" w:eastAsia="zh-CN"/>
        </w:rPr>
        <w:t>被巡察党组织配合县委巡察工作规定</w:t>
      </w:r>
      <w:r>
        <w:rPr>
          <w:rFonts w:hint="eastAsia" w:ascii="宋体" w:hAnsi="宋体" w:eastAsia="方正仿宋_GBK" w:cs="方正仿宋_GBK"/>
          <w:kern w:val="2"/>
          <w:sz w:val="32"/>
          <w:szCs w:val="32"/>
          <w:lang w:val="en-US" w:eastAsia="zh-CN" w:bidi="ar-SA"/>
        </w:rPr>
        <w:t>》</w:t>
      </w:r>
      <w:r>
        <w:rPr>
          <w:rFonts w:hint="eastAsia" w:ascii="宋体" w:hAnsi="宋体" w:eastAsia="方正仿宋_GBK" w:cs="方正仿宋_GBK"/>
          <w:b w:val="0"/>
          <w:bCs w:val="0"/>
          <w:sz w:val="32"/>
          <w:szCs w:val="32"/>
          <w:lang w:val="en-US" w:eastAsia="zh-CN"/>
        </w:rPr>
        <w:t>《巡察整改和成果运用具体措施》</w:t>
      </w:r>
      <w:r>
        <w:rPr>
          <w:rFonts w:hint="eastAsia" w:ascii="宋体" w:hAnsi="宋体" w:eastAsia="方正仿宋简体" w:cs="方正仿宋简体"/>
          <w:sz w:val="32"/>
          <w:szCs w:val="32"/>
          <w:highlight w:val="none"/>
          <w:lang w:val="en-US" w:eastAsia="zh-CN"/>
        </w:rPr>
        <w:t>等5项制度，</w:t>
      </w:r>
      <w:r>
        <w:rPr>
          <w:rFonts w:hint="eastAsia" w:ascii="宋体" w:hAnsi="宋体" w:eastAsia="方正仿宋简体" w:cs="方正仿宋简体"/>
          <w:color w:val="auto"/>
          <w:kern w:val="2"/>
          <w:sz w:val="32"/>
          <w:szCs w:val="32"/>
          <w:lang w:val="en-US" w:eastAsia="zh-CN" w:bidi="ar-SA"/>
        </w:rPr>
        <w:t>强化“四方会审”</w:t>
      </w:r>
      <w:r>
        <w:rPr>
          <w:rFonts w:hint="eastAsia" w:ascii="宋体" w:hAnsi="宋体" w:eastAsia="方正仿宋简体" w:cs="方正仿宋简体"/>
          <w:sz w:val="32"/>
          <w:szCs w:val="32"/>
          <w:highlight w:val="none"/>
          <w:lang w:val="en-US" w:eastAsia="zh-CN"/>
        </w:rPr>
        <w:t>，巡察</w:t>
      </w:r>
      <w:r>
        <w:rPr>
          <w:rFonts w:hint="eastAsia" w:ascii="宋体" w:hAnsi="宋体" w:eastAsia="方正仿宋简体" w:cs="方正仿宋简体"/>
          <w:color w:val="auto"/>
          <w:kern w:val="2"/>
          <w:sz w:val="32"/>
          <w:szCs w:val="32"/>
          <w:highlight w:val="none"/>
          <w:lang w:val="en-US" w:eastAsia="zh-CN" w:bidi="ar-SA"/>
        </w:rPr>
        <w:t>反馈问题721个，</w:t>
      </w:r>
      <w:r>
        <w:rPr>
          <w:rFonts w:hint="eastAsia" w:ascii="宋体" w:hAnsi="宋体" w:eastAsia="方正仿宋_GBK" w:cs="方正仿宋_GBK"/>
          <w:color w:val="auto"/>
          <w:kern w:val="2"/>
          <w:sz w:val="32"/>
          <w:szCs w:val="32"/>
          <w:highlight w:val="none"/>
          <w:lang w:val="en-US" w:eastAsia="zh-CN" w:bidi="ar-SA"/>
        </w:rPr>
        <w:t>移交</w:t>
      </w:r>
      <w:r>
        <w:rPr>
          <w:rFonts w:hint="eastAsia" w:ascii="宋体" w:hAnsi="宋体" w:eastAsia="方正仿宋_GBK" w:cs="方正仿宋_GBK"/>
          <w:color w:val="auto"/>
          <w:sz w:val="32"/>
          <w:szCs w:val="32"/>
          <w:highlight w:val="none"/>
          <w:lang w:val="en-US" w:eastAsia="zh-CN"/>
        </w:rPr>
        <w:t>问题线索82条，处分27人，</w:t>
      </w:r>
      <w:r>
        <w:rPr>
          <w:rFonts w:hint="eastAsia" w:ascii="宋体" w:hAnsi="宋体" w:eastAsia="方正仿宋_GBK" w:cs="方正仿宋_GBK"/>
          <w:color w:val="auto"/>
          <w:kern w:val="0"/>
          <w:sz w:val="32"/>
          <w:szCs w:val="32"/>
          <w:highlight w:val="none"/>
        </w:rPr>
        <w:t>推动建立完善制度</w:t>
      </w:r>
      <w:r>
        <w:rPr>
          <w:rFonts w:hint="eastAsia" w:ascii="宋体" w:hAnsi="宋体" w:eastAsia="方正仿宋_GBK" w:cs="方正仿宋_GBK"/>
          <w:color w:val="auto"/>
          <w:kern w:val="0"/>
          <w:sz w:val="32"/>
          <w:szCs w:val="32"/>
          <w:highlight w:val="none"/>
          <w:lang w:val="en-US" w:eastAsia="zh-CN"/>
        </w:rPr>
        <w:t>257</w:t>
      </w:r>
      <w:r>
        <w:rPr>
          <w:rFonts w:hint="eastAsia" w:ascii="宋体" w:hAnsi="宋体" w:eastAsia="方正仿宋_GBK" w:cs="方正仿宋_GBK"/>
          <w:color w:val="auto"/>
          <w:kern w:val="0"/>
          <w:sz w:val="32"/>
          <w:szCs w:val="32"/>
          <w:highlight w:val="none"/>
        </w:rPr>
        <w:t>个</w:t>
      </w:r>
      <w:r>
        <w:rPr>
          <w:rFonts w:hint="eastAsia" w:ascii="宋体" w:hAnsi="宋体" w:eastAsia="方正仿宋_GBK" w:cs="方正仿宋_GBK"/>
          <w:color w:val="auto"/>
          <w:kern w:val="0"/>
          <w:sz w:val="32"/>
          <w:szCs w:val="32"/>
          <w:highlight w:val="none"/>
          <w:lang w:eastAsia="zh-CN"/>
        </w:rPr>
        <w:t>，清退资金</w:t>
      </w:r>
      <w:r>
        <w:rPr>
          <w:rFonts w:hint="eastAsia" w:ascii="宋体" w:hAnsi="宋体" w:eastAsia="方正仿宋_GBK" w:cs="方正仿宋_GBK"/>
          <w:color w:val="auto"/>
          <w:kern w:val="0"/>
          <w:sz w:val="32"/>
          <w:szCs w:val="32"/>
          <w:highlight w:val="none"/>
          <w:lang w:val="en-US" w:eastAsia="zh-CN"/>
        </w:rPr>
        <w:t>290.63万余元</w:t>
      </w:r>
      <w:r>
        <w:rPr>
          <w:rFonts w:hint="eastAsia" w:ascii="宋体" w:hAnsi="宋体" w:eastAsia="方正仿宋_GBK" w:cs="方正仿宋_GBK"/>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方正楷体_GBK" w:cs="方正楷体_GBK"/>
          <w:b/>
          <w:bCs/>
          <w:sz w:val="32"/>
          <w:szCs w:val="32"/>
          <w:lang w:val="en-US" w:eastAsia="zh-CN"/>
        </w:rPr>
      </w:pPr>
      <w:r>
        <w:rPr>
          <w:rFonts w:hint="eastAsia" w:ascii="宋体" w:hAnsi="宋体" w:eastAsia="方正楷体_GBK" w:cs="方正楷体_GBK"/>
          <w:b/>
          <w:bCs/>
          <w:sz w:val="32"/>
          <w:szCs w:val="32"/>
          <w:lang w:val="en-US" w:eastAsia="zh-CN"/>
        </w:rPr>
        <w:t>六是树牢宗旨意识，民生民利维护进一步加强。</w:t>
      </w:r>
      <w:r>
        <w:rPr>
          <w:rFonts w:hint="eastAsia" w:ascii="宋体" w:hAnsi="宋体" w:eastAsia="方正仿宋_GBK" w:cs="方正仿宋_GBK"/>
          <w:sz w:val="32"/>
          <w:szCs w:val="32"/>
          <w:lang w:val="en-US" w:eastAsia="zh-CN"/>
        </w:rPr>
        <w:t>开展问题楼盘专项治理，</w:t>
      </w:r>
      <w:r>
        <w:rPr>
          <w:rFonts w:hint="eastAsia" w:ascii="宋体" w:hAnsi="宋体" w:eastAsia="方正仿宋_GBK" w:cs="方正仿宋_GBK"/>
          <w:color w:val="000000"/>
          <w:kern w:val="0"/>
          <w:sz w:val="32"/>
          <w:szCs w:val="32"/>
        </w:rPr>
        <w:t>推动</w:t>
      </w:r>
      <w:r>
        <w:rPr>
          <w:rFonts w:hint="eastAsia" w:ascii="宋体" w:hAnsi="宋体" w:eastAsia="方正仿宋_GBK" w:cs="方正仿宋_GBK"/>
          <w:color w:val="000000"/>
          <w:kern w:val="0"/>
          <w:sz w:val="32"/>
          <w:szCs w:val="32"/>
          <w:lang w:val="en-US" w:eastAsia="zh-CN"/>
        </w:rPr>
        <w:t>21个问题楼盘全部销号、完成首次登记10968套。</w:t>
      </w:r>
      <w:r>
        <w:rPr>
          <w:rFonts w:hint="eastAsia" w:ascii="宋体" w:hAnsi="宋体" w:eastAsia="方正仿宋_GBK" w:cs="方正仿宋_GBK"/>
          <w:sz w:val="32"/>
          <w:szCs w:val="32"/>
          <w:lang w:val="en-US" w:eastAsia="zh-CN"/>
        </w:rPr>
        <w:t>坚持开展“阳光问廉”下乡进村活动，推动解决问题4个。</w:t>
      </w:r>
      <w:r>
        <w:rPr>
          <w:rFonts w:hint="eastAsia" w:ascii="宋体" w:hAnsi="宋体" w:eastAsia="方正仿宋_GBK" w:cs="宋体"/>
          <w:bCs/>
          <w:kern w:val="2"/>
          <w:sz w:val="32"/>
          <w:szCs w:val="32"/>
          <w:lang w:val="en-US" w:eastAsia="zh-CN" w:bidi="ar-SA"/>
        </w:rPr>
        <w:t>组织开展扶贫衔接资金建设项目、乡村振兴实绩考核等专项督查，发现问题300余个、处分83人。着力发现和查处简易审批村庄建设项目中的腐败问题和形式主义、官僚主义问题，处分25人。深挖彻查医药领域权力寻租、利益输送、以权谋私等违纪违法问题，处分2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宋体" w:hAnsi="宋体" w:eastAsia="方正仿宋简体" w:cs="Times New Roman"/>
          <w:b w:val="0"/>
          <w:bCs w:val="0"/>
          <w:sz w:val="32"/>
          <w:szCs w:val="32"/>
          <w:lang w:val="en-US" w:eastAsia="zh-CN"/>
        </w:rPr>
      </w:pPr>
      <w:r>
        <w:rPr>
          <w:rFonts w:hint="eastAsia" w:ascii="宋体" w:hAnsi="宋体" w:eastAsia="方正楷体_GBK" w:cs="方正楷体_GBK"/>
          <w:b/>
          <w:bCs/>
          <w:sz w:val="32"/>
          <w:szCs w:val="32"/>
          <w:lang w:val="en-US" w:eastAsia="zh-CN"/>
        </w:rPr>
        <w:t>七是锐意改革创新，有效监督体系进一步完善。</w:t>
      </w:r>
      <w:r>
        <w:rPr>
          <w:rFonts w:hint="eastAsia" w:ascii="宋体" w:hAnsi="宋体" w:eastAsia="方正仿宋_GBK" w:cs="方正仿宋_GBK"/>
          <w:sz w:val="32"/>
          <w:szCs w:val="28"/>
          <w:lang w:val="en-US" w:eastAsia="zh-CN"/>
        </w:rPr>
        <w:t>强化“室组”联动监督、“室组地”联合办案</w:t>
      </w:r>
      <w:r>
        <w:rPr>
          <w:rFonts w:hint="eastAsia" w:ascii="宋体" w:hAnsi="宋体" w:eastAsia="方正仿宋_GBK" w:cs="方正仿宋_GBK"/>
          <w:sz w:val="32"/>
          <w:szCs w:val="32"/>
          <w:lang w:val="en-US" w:eastAsia="zh-CN"/>
        </w:rPr>
        <w:t>，派驻监督质效进一步提升。</w:t>
      </w:r>
      <w:r>
        <w:rPr>
          <w:rFonts w:hint="eastAsia" w:ascii="宋体" w:hAnsi="宋体" w:eastAsia="方正仿宋_GBK" w:cs="宋体"/>
          <w:kern w:val="2"/>
          <w:sz w:val="32"/>
          <w:szCs w:val="32"/>
          <w:lang w:val="en-US" w:eastAsia="zh-CN" w:bidi="ar-SA"/>
        </w:rPr>
        <w:t>优化设立县属国资国企、学校、医院纪委，完成5个派驻纪检监察组、2个乡镇纪委、4个村（社区）规范化建设试点。</w:t>
      </w:r>
      <w:r>
        <w:rPr>
          <w:rFonts w:hint="eastAsia" w:ascii="宋体" w:hAnsi="宋体" w:eastAsia="方正仿宋简体" w:cs="Times New Roman"/>
          <w:b w:val="0"/>
          <w:bCs w:val="0"/>
          <w:sz w:val="32"/>
          <w:szCs w:val="32"/>
          <w:lang w:val="en-US" w:eastAsia="zh-CN"/>
        </w:rPr>
        <w:t>加强“四项监督”统筹衔接，借力群众监督，</w:t>
      </w:r>
      <w:r>
        <w:rPr>
          <w:rFonts w:hint="eastAsia" w:ascii="宋体" w:hAnsi="宋体" w:eastAsia="方正仿宋_GBK" w:cs="方正仿宋_GBK"/>
          <w:kern w:val="0"/>
          <w:sz w:val="32"/>
          <w:szCs w:val="32"/>
        </w:rPr>
        <w:t>跟进“资观帮忙”“资观监督”曝光问题，推动解决姚市镇自来水安装等民生问题80余个。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楷体_GBK" w:cs="方正楷体_GBK"/>
          <w:b/>
          <w:bCs/>
          <w:sz w:val="32"/>
          <w:szCs w:val="32"/>
          <w:lang w:val="en-US" w:eastAsia="zh-CN"/>
        </w:rPr>
        <w:t>八是带头自我革命，过硬铁军队伍进一步铸强。</w:t>
      </w:r>
      <w:r>
        <w:rPr>
          <w:rFonts w:hint="eastAsia" w:ascii="宋体" w:hAnsi="宋体" w:eastAsia="方正仿宋_GBK" w:cs="宋体"/>
          <w:kern w:val="2"/>
          <w:sz w:val="32"/>
          <w:szCs w:val="32"/>
          <w:lang w:val="en-US" w:eastAsia="zh-CN" w:bidi="ar-SA"/>
        </w:rPr>
        <w:t>扎实开展“两项教育”。坚持刀刃向内，批评教育帮助和处理11人次，其中党纪处分3人。深入推进能力建设。坚持</w:t>
      </w:r>
      <w:r>
        <w:rPr>
          <w:rFonts w:hint="eastAsia" w:ascii="宋体" w:hAnsi="宋体" w:eastAsia="方正仿宋_GBK" w:cs="方正仿宋_GBK"/>
          <w:kern w:val="0"/>
          <w:sz w:val="32"/>
          <w:szCs w:val="32"/>
          <w:lang w:eastAsia="zh-CN"/>
        </w:rPr>
        <w:t>“优进、严管、高出”</w:t>
      </w:r>
      <w:r>
        <w:rPr>
          <w:rFonts w:hint="eastAsia" w:ascii="宋体" w:hAnsi="宋体" w:eastAsia="方正仿宋_GBK" w:cs="方正仿宋_GBK"/>
          <w:kern w:val="0"/>
          <w:sz w:val="32"/>
          <w:szCs w:val="32"/>
          <w:lang w:val="en-US" w:eastAsia="zh-CN"/>
        </w:rPr>
        <w:t>，</w:t>
      </w:r>
      <w:r>
        <w:rPr>
          <w:rFonts w:hint="eastAsia" w:ascii="宋体" w:hAnsi="宋体" w:eastAsia="方正仿宋_GBK" w:cs="方正仿宋_GBK"/>
          <w:kern w:val="0"/>
          <w:sz w:val="32"/>
          <w:szCs w:val="32"/>
          <w:lang w:eastAsia="zh-CN"/>
        </w:rPr>
        <w:t>引进人才</w:t>
      </w:r>
      <w:r>
        <w:rPr>
          <w:rFonts w:hint="eastAsia" w:ascii="宋体" w:hAnsi="宋体" w:eastAsia="方正仿宋_GBK" w:cs="方正仿宋_GBK"/>
          <w:kern w:val="0"/>
          <w:sz w:val="32"/>
          <w:szCs w:val="32"/>
          <w:lang w:val="en-US" w:eastAsia="zh-CN"/>
        </w:rPr>
        <w:t>27名，提拔重用10人，晋升职级35人，在全市范围内首先达到干部配备率98%</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sz w:val="32"/>
          <w:szCs w:val="32"/>
        </w:rPr>
        <w:t>“双向互派、实战练兵”强基提能工程</w:t>
      </w:r>
      <w:r>
        <w:rPr>
          <w:rFonts w:hint="eastAsia" w:ascii="宋体" w:hAnsi="宋体" w:eastAsia="方正仿宋_GBK" w:cs="方正仿宋_GBK"/>
          <w:color w:val="auto"/>
          <w:sz w:val="32"/>
          <w:szCs w:val="32"/>
          <w:u w:val="none"/>
          <w:lang w:val="en-US" w:eastAsia="zh-CN"/>
        </w:rPr>
        <w:t>实战培训45人，</w:t>
      </w:r>
      <w:r>
        <w:rPr>
          <w:rFonts w:hint="eastAsia" w:ascii="宋体" w:hAnsi="宋体" w:eastAsia="方正仿宋_GBK" w:cs="方正仿宋_GBK"/>
          <w:sz w:val="32"/>
          <w:szCs w:val="32"/>
        </w:rPr>
        <w:t>“</w:t>
      </w:r>
      <w:r>
        <w:rPr>
          <w:rFonts w:hint="eastAsia" w:ascii="宋体" w:hAnsi="宋体" w:eastAsia="方正仿宋_GBK" w:cs="方正仿宋_GBK"/>
          <w:kern w:val="0"/>
          <w:sz w:val="32"/>
          <w:szCs w:val="32"/>
        </w:rPr>
        <w:t>县乡互派、前后端互派</w:t>
      </w:r>
      <w:r>
        <w:rPr>
          <w:rFonts w:hint="eastAsia" w:ascii="宋体" w:hAnsi="宋体" w:eastAsia="方正仿宋_GBK" w:cs="方正仿宋_GBK"/>
          <w:sz w:val="32"/>
          <w:szCs w:val="32"/>
        </w:rPr>
        <w:t>”</w:t>
      </w:r>
      <w:r>
        <w:rPr>
          <w:rFonts w:hint="eastAsia" w:ascii="宋体" w:hAnsi="宋体" w:eastAsia="方正仿宋_GBK" w:cs="方正仿宋_GBK"/>
          <w:kern w:val="0"/>
          <w:sz w:val="32"/>
          <w:szCs w:val="32"/>
        </w:rPr>
        <w:t>做法得到省纪委廖建宇书记肯定</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color w:val="000000"/>
          <w:kern w:val="0"/>
          <w:sz w:val="32"/>
          <w:szCs w:val="32"/>
        </w:rPr>
        <w:t>拓展实施“三亮三比三树”</w:t>
      </w:r>
      <w:r>
        <w:rPr>
          <w:rFonts w:hint="eastAsia" w:ascii="宋体" w:hAnsi="宋体" w:eastAsia="方正仿宋_GBK" w:cs="方正仿宋_GBK"/>
          <w:color w:val="000000"/>
          <w:kern w:val="0"/>
          <w:sz w:val="32"/>
          <w:szCs w:val="32"/>
          <w:lang w:eastAsia="zh-CN"/>
        </w:rPr>
        <w:t>“审查调查月调度、分团调度”</w:t>
      </w:r>
      <w:r>
        <w:rPr>
          <w:rFonts w:hint="eastAsia" w:ascii="宋体" w:hAnsi="宋体" w:eastAsia="方正仿宋_GBK" w:cs="方正仿宋_GBK"/>
          <w:color w:val="000000"/>
          <w:kern w:val="0"/>
          <w:sz w:val="32"/>
          <w:szCs w:val="32"/>
        </w:rPr>
        <w:t>等内部工作机制，</w:t>
      </w:r>
      <w:r>
        <w:rPr>
          <w:rFonts w:hint="eastAsia" w:ascii="宋体" w:hAnsi="宋体" w:eastAsia="方正仿宋_GBK" w:cs="方正仿宋_GBK"/>
          <w:color w:val="000000"/>
          <w:kern w:val="0"/>
          <w:sz w:val="32"/>
          <w:szCs w:val="32"/>
          <w:lang w:eastAsia="zh-CN"/>
        </w:rPr>
        <w:t>采取“清单制</w:t>
      </w:r>
      <w:r>
        <w:rPr>
          <w:rFonts w:hint="eastAsia" w:ascii="宋体" w:hAnsi="宋体" w:eastAsia="方正仿宋_GBK" w:cs="方正仿宋_GBK"/>
          <w:color w:val="000000"/>
          <w:kern w:val="0"/>
          <w:sz w:val="32"/>
          <w:szCs w:val="32"/>
          <w:lang w:val="en-US" w:eastAsia="zh-CN"/>
        </w:rPr>
        <w:t>+责任制</w:t>
      </w:r>
      <w:r>
        <w:rPr>
          <w:rFonts w:hint="eastAsia" w:ascii="宋体" w:hAnsi="宋体" w:eastAsia="方正仿宋_GBK" w:cs="方正仿宋_GBK"/>
          <w:color w:val="000000"/>
          <w:kern w:val="0"/>
          <w:sz w:val="32"/>
          <w:szCs w:val="32"/>
          <w:lang w:eastAsia="zh-CN"/>
        </w:rPr>
        <w:t>”</w:t>
      </w:r>
      <w:r>
        <w:rPr>
          <w:rFonts w:hint="eastAsia" w:ascii="宋体" w:hAnsi="宋体" w:eastAsia="方正仿宋_GBK" w:cs="方正仿宋_GBK"/>
          <w:color w:val="000000"/>
          <w:kern w:val="0"/>
          <w:sz w:val="32"/>
          <w:szCs w:val="32"/>
          <w:lang w:val="en-US" w:eastAsia="zh-CN"/>
        </w:rPr>
        <w:t>销号管理</w:t>
      </w:r>
      <w:r>
        <w:rPr>
          <w:rFonts w:hint="eastAsia" w:ascii="宋体" w:hAnsi="宋体" w:eastAsia="方正仿宋_GBK" w:cs="方正仿宋_GBK"/>
          <w:color w:val="000000"/>
          <w:kern w:val="0"/>
          <w:sz w:val="32"/>
          <w:szCs w:val="32"/>
        </w:rPr>
        <w:t>，</w:t>
      </w:r>
      <w:r>
        <w:rPr>
          <w:rFonts w:hint="eastAsia" w:ascii="宋体" w:hAnsi="宋体" w:eastAsia="方正仿宋_GBK" w:cs="方正仿宋_GBK"/>
          <w:color w:val="000000"/>
          <w:kern w:val="0"/>
          <w:sz w:val="32"/>
          <w:szCs w:val="32"/>
          <w:lang w:eastAsia="zh-CN"/>
        </w:rPr>
        <w:t>推动机关运转有效高效</w:t>
      </w:r>
      <w:r>
        <w:rPr>
          <w:rFonts w:hint="eastAsia" w:ascii="宋体" w:hAnsi="宋体" w:eastAsia="方正仿宋_GBK" w:cs="方正仿宋_GBK"/>
          <w:color w:val="000000"/>
          <w:kern w:val="0"/>
          <w:sz w:val="32"/>
          <w:szCs w:val="32"/>
        </w:rPr>
        <w:t>。</w:t>
      </w:r>
    </w:p>
    <w:p>
      <w:pPr>
        <w:pStyle w:val="17"/>
        <w:keepNext w:val="0"/>
        <w:keepLines w:val="0"/>
        <w:pageBreakBefore w:val="0"/>
        <w:shd w:val="clear" w:color="auto" w:fill="FFFFFF"/>
        <w:kinsoku/>
        <w:wordWrap/>
        <w:overflowPunct/>
        <w:topLinePunct w:val="0"/>
        <w:autoSpaceDE/>
        <w:autoSpaceDN/>
        <w:bidi w:val="0"/>
        <w:adjustRightInd/>
        <w:spacing w:before="0" w:beforeAutospacing="0" w:after="0" w:afterAutospacing="0" w:line="590" w:lineRule="exact"/>
        <w:ind w:firstLine="643" w:firstLineChars="200"/>
        <w:jc w:val="both"/>
        <w:textAlignment w:val="auto"/>
        <w:rPr>
          <w:rFonts w:hint="eastAsia" w:ascii="宋体" w:hAnsi="宋体" w:eastAsia="方正仿宋_GBK" w:cs="方正仿宋_GBK"/>
          <w:b/>
          <w:bCs/>
          <w:color w:val="000000"/>
          <w:sz w:val="32"/>
          <w:szCs w:val="32"/>
        </w:rPr>
      </w:pPr>
      <w:r>
        <w:rPr>
          <w:rFonts w:hint="eastAsia" w:ascii="宋体" w:hAnsi="宋体" w:eastAsia="方正仿宋_GBK" w:cs="方正仿宋_GBK"/>
          <w:b/>
          <w:bCs/>
          <w:color w:val="000000"/>
          <w:sz w:val="32"/>
          <w:szCs w:val="32"/>
          <w:lang w:val="en-US" w:eastAsia="zh-CN"/>
        </w:rPr>
        <w:t>2.</w:t>
      </w:r>
      <w:r>
        <w:rPr>
          <w:rFonts w:hint="eastAsia" w:ascii="宋体" w:hAnsi="宋体" w:eastAsia="方正仿宋_GBK" w:cs="方正仿宋_GBK"/>
          <w:b/>
          <w:bCs/>
          <w:color w:val="000000"/>
          <w:sz w:val="32"/>
          <w:szCs w:val="32"/>
        </w:rPr>
        <w:t>资金使用管理情况</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本部门工作机构运转良好，厉行节约，对各项支出严格按照预算额度进行成本控制，办公费、水电费、三公经费等</w:t>
      </w:r>
      <w:r>
        <w:rPr>
          <w:rFonts w:hint="eastAsia" w:ascii="宋体" w:hAnsi="宋体" w:eastAsia="方正仿宋_GBK" w:cs="方正仿宋_GBK"/>
          <w:sz w:val="32"/>
          <w:szCs w:val="32"/>
          <w:lang w:val="en-US" w:eastAsia="zh-CN"/>
        </w:rPr>
        <w:t>较</w:t>
      </w:r>
      <w:r>
        <w:rPr>
          <w:rFonts w:hint="eastAsia" w:ascii="宋体" w:hAnsi="宋体" w:eastAsia="方正仿宋_GBK" w:cs="方正仿宋_GBK"/>
          <w:sz w:val="32"/>
          <w:szCs w:val="32"/>
        </w:rPr>
        <w:t>去年均有所减少。自觉遵守“无预算不执行”规定，严格按照经济分类安排各项支出，做到专款专用，实时监控资金运转情况，资金管理水平高，最大程度发挥财政资金使用效益。</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六、问题分析</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在202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年度预算执行过程中，严格按照年初预算的资金使用方向安排支出，主要存在问题：一是</w:t>
      </w:r>
      <w:r>
        <w:rPr>
          <w:rFonts w:hint="eastAsia" w:ascii="宋体" w:hAnsi="宋体" w:eastAsia="方正仿宋_GBK" w:cs="方正仿宋_GBK"/>
          <w:sz w:val="32"/>
          <w:szCs w:val="32"/>
          <w:lang w:val="en-US" w:eastAsia="zh-CN"/>
        </w:rPr>
        <w:t>由于</w:t>
      </w:r>
      <w:r>
        <w:rPr>
          <w:rFonts w:hint="eastAsia" w:ascii="宋体" w:hAnsi="宋体" w:eastAsia="方正仿宋_GBK" w:cs="方正仿宋_GBK"/>
          <w:sz w:val="32"/>
          <w:szCs w:val="32"/>
        </w:rPr>
        <w:t>财政</w:t>
      </w:r>
      <w:r>
        <w:rPr>
          <w:rFonts w:hint="eastAsia" w:ascii="宋体" w:hAnsi="宋体" w:eastAsia="方正仿宋_GBK" w:cs="方正仿宋_GBK"/>
          <w:sz w:val="32"/>
          <w:szCs w:val="32"/>
          <w:lang w:val="en-US" w:eastAsia="zh-CN"/>
        </w:rPr>
        <w:t>困难导致</w:t>
      </w:r>
      <w:r>
        <w:rPr>
          <w:rFonts w:hint="eastAsia" w:ascii="宋体" w:hAnsi="宋体" w:eastAsia="方正仿宋_GBK" w:cs="方正仿宋_GBK"/>
          <w:sz w:val="32"/>
          <w:szCs w:val="32"/>
        </w:rPr>
        <w:t>项目资金</w:t>
      </w:r>
      <w:r>
        <w:rPr>
          <w:rFonts w:hint="eastAsia" w:ascii="宋体" w:hAnsi="宋体" w:eastAsia="方正仿宋_GBK" w:cs="方正仿宋_GBK"/>
          <w:sz w:val="32"/>
          <w:szCs w:val="32"/>
          <w:lang w:val="en-US" w:eastAsia="zh-CN"/>
        </w:rPr>
        <w:t>拨付不</w:t>
      </w:r>
      <w:r>
        <w:rPr>
          <w:rFonts w:hint="eastAsia" w:ascii="宋体" w:hAnsi="宋体" w:eastAsia="方正仿宋_GBK" w:cs="方正仿宋_GBK"/>
          <w:sz w:val="32"/>
          <w:szCs w:val="32"/>
        </w:rPr>
        <w:t>及时；二是办案工作业务量增大，且还要负责省、市交办案件，在上年度编制预算时无法准确预计，不可避免存在当年追加</w:t>
      </w:r>
      <w:r>
        <w:rPr>
          <w:rFonts w:hint="eastAsia" w:ascii="宋体" w:hAnsi="宋体" w:eastAsia="方正仿宋_GBK" w:cs="方正仿宋_GBK"/>
          <w:sz w:val="32"/>
          <w:szCs w:val="32"/>
          <w:lang w:val="en-US" w:eastAsia="zh-CN"/>
        </w:rPr>
        <w:t>或者</w:t>
      </w:r>
      <w:r>
        <w:rPr>
          <w:rFonts w:hint="eastAsia" w:ascii="宋体" w:hAnsi="宋体" w:eastAsia="方正仿宋_GBK" w:cs="方正仿宋_GBK"/>
          <w:sz w:val="32"/>
          <w:szCs w:val="32"/>
        </w:rPr>
        <w:t>调剂预算的情况，</w:t>
      </w:r>
      <w:r>
        <w:rPr>
          <w:rFonts w:hint="eastAsia" w:ascii="宋体" w:hAnsi="宋体" w:eastAsia="方正仿宋_GBK" w:cs="方正仿宋_GBK"/>
          <w:sz w:val="32"/>
          <w:szCs w:val="32"/>
          <w:lang w:val="en-US" w:eastAsia="zh-CN"/>
        </w:rPr>
        <w:t>导致</w:t>
      </w:r>
      <w:r>
        <w:rPr>
          <w:rFonts w:hint="eastAsia" w:ascii="宋体" w:hAnsi="宋体" w:eastAsia="方正仿宋_GBK" w:cs="方正仿宋_GBK"/>
          <w:sz w:val="32"/>
          <w:szCs w:val="32"/>
        </w:rPr>
        <w:t>预算</w:t>
      </w:r>
      <w:r>
        <w:rPr>
          <w:rFonts w:hint="eastAsia" w:ascii="宋体" w:hAnsi="宋体" w:eastAsia="方正仿宋_GBK" w:cs="方正仿宋_GBK"/>
          <w:sz w:val="32"/>
          <w:szCs w:val="32"/>
          <w:lang w:val="en-US" w:eastAsia="zh-CN"/>
        </w:rPr>
        <w:t>调整幅度较大</w:t>
      </w:r>
      <w:r>
        <w:rPr>
          <w:rFonts w:hint="eastAsia" w:ascii="宋体" w:hAnsi="宋体" w:eastAsia="方正仿宋_GBK" w:cs="方正仿宋_GBK"/>
          <w:sz w:val="32"/>
          <w:szCs w:val="32"/>
        </w:rPr>
        <w:t>；三是</w:t>
      </w:r>
      <w:r>
        <w:rPr>
          <w:rFonts w:hint="eastAsia" w:ascii="宋体" w:hAnsi="宋体" w:eastAsia="方正仿宋_GBK" w:cs="方正仿宋_GBK"/>
          <w:sz w:val="32"/>
          <w:szCs w:val="32"/>
          <w:lang w:val="en-US" w:eastAsia="zh-CN"/>
        </w:rPr>
        <w:t>项目入库前期绩效指标填报不规范，造成项目绩效数据统计困难，个别项目统计不精准</w:t>
      </w:r>
      <w:r>
        <w:rPr>
          <w:rFonts w:hint="eastAsia" w:ascii="宋体" w:hAnsi="宋体" w:eastAsia="方正仿宋_GBK" w:cs="方正仿宋_GBK"/>
          <w:sz w:val="32"/>
          <w:szCs w:val="32"/>
        </w:rPr>
        <w:t>。</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七、建议</w:t>
      </w:r>
    </w:p>
    <w:p>
      <w:pPr>
        <w:keepNext w:val="0"/>
        <w:keepLines w:val="0"/>
        <w:pageBreakBefore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1.进一步强化预算管理意识，预算编制前多与</w:t>
      </w:r>
      <w:r>
        <w:rPr>
          <w:rFonts w:hint="eastAsia" w:ascii="宋体" w:hAnsi="宋体" w:eastAsia="方正仿宋_GBK" w:cs="方正仿宋_GBK"/>
          <w:sz w:val="32"/>
          <w:szCs w:val="32"/>
          <w:lang w:val="en-US" w:eastAsia="zh-CN"/>
        </w:rPr>
        <w:t>项目有关</w:t>
      </w:r>
      <w:r>
        <w:rPr>
          <w:rFonts w:hint="eastAsia" w:ascii="宋体" w:hAnsi="宋体" w:eastAsia="方正仿宋_GBK" w:cs="方正仿宋_GBK"/>
          <w:sz w:val="32"/>
          <w:szCs w:val="32"/>
        </w:rPr>
        <w:t>单位做好沟通衔接，提高预算编制的科学性、合理性、准确性和可控性。强化预算的刚性约束，做到“先预算后开支”，加强执行动态监控、中期评估及绩效跟踪监控管理，进一步提高预算执行率。</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2.进一步提高各项内部管理制度执行效率，进一步完善预算管理制度、资产管理制度、办案工作经费管理制度，使其更贴合实际情况，并要求从上至下严格遵守执行。</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3.希望上级业务主管部门多</w:t>
      </w:r>
      <w:r>
        <w:rPr>
          <w:rFonts w:hint="eastAsia" w:ascii="宋体" w:hAnsi="宋体" w:eastAsia="方正仿宋_GBK" w:cs="方正仿宋_GBK"/>
          <w:sz w:val="32"/>
          <w:szCs w:val="32"/>
          <w:lang w:val="en-US" w:eastAsia="zh-CN"/>
        </w:rPr>
        <w:t>开展</w:t>
      </w:r>
      <w:r>
        <w:rPr>
          <w:rFonts w:hint="eastAsia" w:ascii="宋体" w:hAnsi="宋体" w:eastAsia="方正仿宋_GBK" w:cs="方正仿宋_GBK"/>
          <w:sz w:val="32"/>
          <w:szCs w:val="32"/>
        </w:rPr>
        <w:t>相关业务知识培训。</w:t>
      </w:r>
    </w:p>
    <w:p>
      <w:pPr>
        <w:rPr>
          <w:rFonts w:hint="eastAsia"/>
          <w:lang w:eastAsia="zh-CN"/>
        </w:rPr>
      </w:pPr>
    </w:p>
    <w:p>
      <w:pPr>
        <w:keepNext w:val="0"/>
        <w:keepLines w:val="0"/>
        <w:pageBreakBefore w:val="0"/>
        <w:kinsoku/>
        <w:wordWrap/>
        <w:overflowPunct/>
        <w:topLinePunct w:val="0"/>
        <w:autoSpaceDE/>
        <w:autoSpaceDN/>
        <w:bidi w:val="0"/>
        <w:snapToGrid w:val="0"/>
        <w:spacing w:line="590" w:lineRule="exact"/>
        <w:ind w:left="2238" w:leftChars="304" w:hanging="1600" w:hangingChars="500"/>
        <w:jc w:val="both"/>
        <w:textAlignment w:val="auto"/>
        <w:rPr>
          <w:rFonts w:hint="eastAsia" w:ascii="宋体" w:hAnsi="宋体" w:eastAsia="方正仿宋_GBK" w:cs="方正仿宋_GBK"/>
          <w:spacing w:val="-20"/>
          <w:sz w:val="32"/>
          <w:szCs w:val="32"/>
        </w:rPr>
      </w:pPr>
      <w:r>
        <w:rPr>
          <w:rFonts w:hint="eastAsia" w:ascii="宋体" w:hAnsi="宋体" w:eastAsia="方正仿宋_GBK" w:cs="方正仿宋_GBK"/>
          <w:sz w:val="32"/>
          <w:szCs w:val="32"/>
        </w:rPr>
        <w:t>附件：1</w:t>
      </w:r>
      <w:r>
        <w:rPr>
          <w:rFonts w:hint="eastAsia" w:ascii="宋体" w:hAnsi="宋体" w:eastAsia="方正仿宋_GBK" w:cs="方正仿宋_GBK"/>
          <w:sz w:val="32"/>
          <w:szCs w:val="32"/>
          <w:lang w:val="en-US" w:eastAsia="zh-CN"/>
        </w:rPr>
        <w:t xml:space="preserve">-1 </w:t>
      </w:r>
      <w:r>
        <w:rPr>
          <w:rFonts w:hint="eastAsia" w:ascii="宋体" w:hAnsi="宋体" w:eastAsia="方正仿宋_GBK" w:cs="方正仿宋_GBK"/>
          <w:spacing w:val="-20"/>
          <w:sz w:val="32"/>
          <w:szCs w:val="32"/>
        </w:rPr>
        <w:t>202</w:t>
      </w:r>
      <w:r>
        <w:rPr>
          <w:rFonts w:hint="eastAsia" w:ascii="宋体" w:hAnsi="宋体" w:eastAsia="方正仿宋_GBK" w:cs="方正仿宋_GBK"/>
          <w:spacing w:val="-20"/>
          <w:sz w:val="32"/>
          <w:szCs w:val="32"/>
          <w:lang w:val="en-US" w:eastAsia="zh-CN"/>
        </w:rPr>
        <w:t>3</w:t>
      </w:r>
      <w:r>
        <w:rPr>
          <w:rFonts w:hint="eastAsia" w:ascii="宋体" w:hAnsi="宋体" w:eastAsia="方正仿宋_GBK" w:cs="方正仿宋_GBK"/>
          <w:spacing w:val="-20"/>
          <w:sz w:val="32"/>
          <w:szCs w:val="32"/>
        </w:rPr>
        <w:t>年度安岳县部门整体支出绩效自评计分表</w:t>
      </w:r>
    </w:p>
    <w:p>
      <w:pPr>
        <w:keepNext w:val="0"/>
        <w:keepLines w:val="0"/>
        <w:pageBreakBefore w:val="0"/>
        <w:kinsoku/>
        <w:wordWrap/>
        <w:overflowPunct/>
        <w:topLinePunct w:val="0"/>
        <w:autoSpaceDE/>
        <w:autoSpaceDN/>
        <w:bidi w:val="0"/>
        <w:snapToGrid w:val="0"/>
        <w:spacing w:line="590" w:lineRule="exact"/>
        <w:ind w:left="2236" w:leftChars="760" w:hanging="640" w:hangingChars="200"/>
        <w:jc w:val="both"/>
        <w:textAlignment w:val="auto"/>
        <w:rPr>
          <w:rFonts w:hint="eastAsia" w:ascii="宋体" w:hAnsi="宋体" w:eastAsia="方正仿宋_GBK" w:cs="方正仿宋_GBK"/>
          <w:spacing w:val="-20"/>
          <w:sz w:val="32"/>
          <w:szCs w:val="32"/>
        </w:rPr>
      </w:pPr>
      <w:r>
        <w:rPr>
          <w:rFonts w:hint="eastAsia" w:ascii="宋体" w:hAnsi="宋体" w:eastAsia="方正仿宋_GBK" w:cs="方正仿宋_GBK"/>
          <w:sz w:val="32"/>
          <w:szCs w:val="32"/>
          <w:lang w:val="en-US" w:eastAsia="zh-CN"/>
        </w:rPr>
        <w:t xml:space="preserve">1-2 </w:t>
      </w:r>
      <w:r>
        <w:rPr>
          <w:rFonts w:hint="eastAsia" w:ascii="宋体" w:hAnsi="宋体" w:eastAsia="方正仿宋_GBK" w:cs="方正仿宋_GBK"/>
          <w:spacing w:val="-20"/>
          <w:sz w:val="32"/>
          <w:szCs w:val="32"/>
        </w:rPr>
        <w:t>202</w:t>
      </w:r>
      <w:r>
        <w:rPr>
          <w:rFonts w:hint="eastAsia" w:ascii="宋体" w:hAnsi="宋体" w:eastAsia="方正仿宋_GBK" w:cs="方正仿宋_GBK"/>
          <w:spacing w:val="-20"/>
          <w:sz w:val="32"/>
          <w:szCs w:val="32"/>
          <w:lang w:val="en-US" w:eastAsia="zh-CN"/>
        </w:rPr>
        <w:t>3</w:t>
      </w:r>
      <w:r>
        <w:rPr>
          <w:rFonts w:hint="eastAsia" w:ascii="宋体" w:hAnsi="宋体" w:eastAsia="方正仿宋_GBK" w:cs="方正仿宋_GBK"/>
          <w:spacing w:val="-20"/>
          <w:sz w:val="32"/>
          <w:szCs w:val="32"/>
        </w:rPr>
        <w:t>年度安岳县项目支出绩效目标完成情况表</w:t>
      </w:r>
    </w:p>
    <w:p>
      <w:pPr>
        <w:keepNext w:val="0"/>
        <w:keepLines w:val="0"/>
        <w:pageBreakBefore w:val="0"/>
        <w:kinsoku/>
        <w:wordWrap/>
        <w:overflowPunct/>
        <w:topLinePunct w:val="0"/>
        <w:autoSpaceDE/>
        <w:autoSpaceDN/>
        <w:bidi w:val="0"/>
        <w:spacing w:line="590" w:lineRule="exact"/>
        <w:ind w:firstLine="640" w:firstLineChars="200"/>
        <w:jc w:val="both"/>
        <w:textAlignment w:val="auto"/>
        <w:rPr>
          <w:rFonts w:hint="eastAsia" w:ascii="宋体" w:hAnsi="宋体" w:eastAsia="方正仿宋_GBK" w:cs="方正仿宋_GBK"/>
          <w:sz w:val="32"/>
          <w:szCs w:val="32"/>
        </w:rPr>
      </w:pPr>
    </w:p>
    <w:p>
      <w:pPr>
        <w:spacing w:line="620" w:lineRule="exact"/>
        <w:jc w:val="left"/>
        <w:rPr>
          <w:rFonts w:ascii="宋体" w:hAnsi="宋体" w:eastAsia="方正黑体简体"/>
          <w:color w:val="000000"/>
          <w:kern w:val="0"/>
          <w:sz w:val="32"/>
          <w:szCs w:val="32"/>
        </w:rPr>
      </w:pPr>
    </w:p>
    <w:p>
      <w:pPr>
        <w:pStyle w:val="6"/>
        <w:rPr>
          <w:rFonts w:ascii="宋体" w:hAnsi="宋体" w:eastAsia="方正黑体简体"/>
          <w:color w:val="000000"/>
          <w:kern w:val="0"/>
          <w:sz w:val="32"/>
          <w:szCs w:val="32"/>
        </w:rPr>
      </w:pPr>
    </w:p>
    <w:p>
      <w:pPr>
        <w:rPr>
          <w:rFonts w:ascii="宋体" w:hAnsi="宋体" w:eastAsia="方正黑体简体"/>
          <w:color w:val="000000"/>
          <w:kern w:val="0"/>
          <w:sz w:val="32"/>
          <w:szCs w:val="32"/>
        </w:rPr>
      </w:pPr>
    </w:p>
    <w:p>
      <w:pPr>
        <w:pStyle w:val="6"/>
      </w:pPr>
    </w:p>
    <w:p>
      <w:pPr>
        <w:spacing w:line="620" w:lineRule="exact"/>
        <w:jc w:val="left"/>
        <w:rPr>
          <w:rFonts w:ascii="宋体" w:hAnsi="宋体" w:eastAsia="方正黑体简体"/>
          <w:color w:val="000000"/>
          <w:kern w:val="0"/>
          <w:sz w:val="32"/>
          <w:szCs w:val="32"/>
        </w:rPr>
      </w:pPr>
    </w:p>
    <w:p>
      <w:pPr>
        <w:spacing w:line="620" w:lineRule="exact"/>
        <w:jc w:val="left"/>
        <w:rPr>
          <w:rFonts w:ascii="宋体" w:hAnsi="宋体" w:eastAsia="方正黑体简体"/>
          <w:color w:val="000000"/>
          <w:kern w:val="0"/>
          <w:sz w:val="32"/>
          <w:szCs w:val="32"/>
        </w:rPr>
      </w:pPr>
    </w:p>
    <w:p>
      <w:pPr>
        <w:pStyle w:val="6"/>
        <w:rPr>
          <w:rFonts w:ascii="宋体" w:hAnsi="宋体" w:eastAsia="方正黑体简体"/>
          <w:color w:val="000000"/>
          <w:kern w:val="0"/>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default"/>
          <w:lang w:val="en-US" w:eastAsia="zh-CN"/>
        </w:rPr>
      </w:pPr>
      <w:r>
        <w:rPr>
          <w:rFonts w:hint="eastAsia" w:ascii="黑体" w:hAnsi="黑体" w:eastAsia="黑体" w:cs="黑体"/>
          <w:sz w:val="32"/>
          <w:szCs w:val="32"/>
          <w:lang w:val="en-US" w:eastAsia="zh-CN"/>
        </w:rPr>
        <w:t>附件1-1</w:t>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安岳县</w:t>
      </w:r>
      <w:r>
        <w:rPr>
          <w:rFonts w:hint="eastAsia" w:ascii="黑体" w:hAnsi="黑体" w:eastAsia="黑体" w:cs="黑体"/>
          <w:bCs/>
          <w:kern w:val="0"/>
          <w:sz w:val="40"/>
          <w:szCs w:val="40"/>
          <w:lang w:eastAsia="zh-CN"/>
        </w:rPr>
        <w:t>2023</w:t>
      </w:r>
      <w:r>
        <w:rPr>
          <w:rFonts w:hint="eastAsia" w:ascii="黑体" w:hAnsi="黑体" w:eastAsia="黑体" w:cs="黑体"/>
          <w:bCs/>
          <w:kern w:val="0"/>
          <w:sz w:val="40"/>
          <w:szCs w:val="40"/>
        </w:rPr>
        <w:t>年度部门整体支出绩效自评计分表</w:t>
      </w:r>
    </w:p>
    <w:p>
      <w:pPr>
        <w:autoSpaceDE w:val="0"/>
        <w:autoSpaceDN w:val="0"/>
        <w:adjustRightInd w:val="0"/>
        <w:spacing w:line="580" w:lineRule="exact"/>
        <w:jc w:val="both"/>
        <w:rPr>
          <w:rFonts w:ascii="Times New Roman" w:hAnsi="Times New Roman" w:eastAsia="方正小标宋简体"/>
          <w:color w:val="000000"/>
          <w:kern w:val="0"/>
          <w:szCs w:val="21"/>
          <w:highlight w:val="none"/>
        </w:rPr>
      </w:pPr>
      <w:r>
        <w:rPr>
          <w:rFonts w:hint="eastAsia" w:ascii="Times New Roman" w:hAnsi="Times New Roman" w:eastAsia="楷体_GB2312" w:cs="Times New Roman"/>
          <w:b/>
          <w:bCs/>
          <w:kern w:val="0"/>
          <w:sz w:val="20"/>
          <w:szCs w:val="20"/>
          <w:lang w:val="en-US" w:eastAsia="zh-CN"/>
        </w:rPr>
        <w:t>预算单位名称</w:t>
      </w:r>
      <w:r>
        <w:rPr>
          <w:rFonts w:hint="eastAsia" w:eastAsia="楷体_GB2312" w:cs="Times New Roman"/>
          <w:b/>
          <w:bCs/>
          <w:kern w:val="0"/>
          <w:sz w:val="20"/>
          <w:szCs w:val="20"/>
          <w:lang w:val="en-US" w:eastAsia="zh-CN"/>
        </w:rPr>
        <w:t>：</w:t>
      </w:r>
      <w:r>
        <w:rPr>
          <w:rFonts w:hint="eastAsia" w:ascii="Times New Roman" w:hAnsi="Times New Roman" w:eastAsia="楷体_GB2312" w:cs="Times New Roman"/>
          <w:b/>
          <w:bCs/>
          <w:kern w:val="0"/>
          <w:sz w:val="20"/>
          <w:szCs w:val="20"/>
          <w:lang w:val="en-US" w:eastAsia="zh-CN"/>
        </w:rPr>
        <w:t xml:space="preserve">中国共产党安岳县纪律检查委员会 </w:t>
      </w:r>
      <w:r>
        <w:rPr>
          <w:rFonts w:hint="eastAsia" w:eastAsia="楷体_GB2312" w:cs="Times New Roman"/>
          <w:b/>
          <w:bCs/>
          <w:kern w:val="0"/>
          <w:sz w:val="20"/>
          <w:szCs w:val="20"/>
          <w:lang w:val="en-US" w:eastAsia="zh-CN"/>
        </w:rPr>
        <w:t xml:space="preserve"> </w:t>
      </w:r>
      <w:r>
        <w:rPr>
          <w:rFonts w:hint="eastAsia" w:ascii="Times New Roman" w:hAnsi="Times New Roman" w:eastAsia="楷体_GB2312" w:cs="Times New Roman"/>
          <w:b/>
          <w:bCs/>
          <w:kern w:val="0"/>
          <w:sz w:val="20"/>
          <w:szCs w:val="20"/>
          <w:lang w:val="en-US" w:eastAsia="zh-CN"/>
        </w:rPr>
        <w:t xml:space="preserve">  预算单位编码：103001    自评等级：优 </w:t>
      </w:r>
      <w:r>
        <w:rPr>
          <w:rFonts w:ascii="Times New Roman" w:hAnsi="Times New Roman" w:eastAsia="楷体_GB2312"/>
          <w:b/>
          <w:bCs/>
          <w:kern w:val="0"/>
          <w:sz w:val="20"/>
          <w:szCs w:val="20"/>
          <w:highlight w:val="none"/>
        </w:rPr>
        <w:t xml:space="preserve">  </w:t>
      </w:r>
      <w:r>
        <w:rPr>
          <w:rFonts w:ascii="Times New Roman" w:hAnsi="Times New Roman" w:eastAsia="方正小标宋简体"/>
          <w:color w:val="000000"/>
          <w:kern w:val="0"/>
          <w:szCs w:val="21"/>
          <w:highlight w:val="none"/>
        </w:rPr>
        <w:t xml:space="preserve">        </w:t>
      </w:r>
    </w:p>
    <w:tbl>
      <w:tblPr>
        <w:tblStyle w:val="18"/>
        <w:tblW w:w="9945" w:type="dxa"/>
        <w:jc w:val="center"/>
        <w:tblLayout w:type="fixed"/>
        <w:tblCellMar>
          <w:top w:w="0" w:type="dxa"/>
          <w:left w:w="108" w:type="dxa"/>
          <w:bottom w:w="0" w:type="dxa"/>
          <w:right w:w="108" w:type="dxa"/>
        </w:tblCellMar>
      </w:tblPr>
      <w:tblGrid>
        <w:gridCol w:w="624"/>
        <w:gridCol w:w="567"/>
        <w:gridCol w:w="987"/>
        <w:gridCol w:w="1967"/>
        <w:gridCol w:w="2800"/>
        <w:gridCol w:w="680"/>
        <w:gridCol w:w="2320"/>
      </w:tblGrid>
      <w:tr>
        <w:tblPrEx>
          <w:tblCellMar>
            <w:top w:w="0" w:type="dxa"/>
            <w:left w:w="108" w:type="dxa"/>
            <w:bottom w:w="0" w:type="dxa"/>
            <w:right w:w="108" w:type="dxa"/>
          </w:tblCellMar>
        </w:tblPrEx>
        <w:trPr>
          <w:trHeight w:val="1252" w:hRule="atLeast"/>
          <w:tblHeader/>
          <w:jc w:val="center"/>
        </w:trPr>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一级指标</w:t>
            </w:r>
          </w:p>
        </w:tc>
        <w:tc>
          <w:tcPr>
            <w:tcW w:w="56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二级指标</w:t>
            </w:r>
          </w:p>
        </w:tc>
        <w:tc>
          <w:tcPr>
            <w:tcW w:w="98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三级指标</w:t>
            </w:r>
          </w:p>
        </w:tc>
        <w:tc>
          <w:tcPr>
            <w:tcW w:w="196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指标解释</w:t>
            </w:r>
          </w:p>
        </w:tc>
        <w:tc>
          <w:tcPr>
            <w:tcW w:w="280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指标说明</w:t>
            </w:r>
            <w:r>
              <w:rPr>
                <w:rFonts w:ascii="Times New Roman" w:hAnsi="Times New Roman"/>
                <w:b/>
                <w:bCs/>
                <w:spacing w:val="-20"/>
                <w:kern w:val="0"/>
                <w:sz w:val="20"/>
                <w:szCs w:val="20"/>
                <w:highlight w:val="none"/>
              </w:rPr>
              <w:t>(</w:t>
            </w:r>
            <w:r>
              <w:rPr>
                <w:rFonts w:ascii="Times New Roman"/>
                <w:b/>
                <w:bCs/>
                <w:spacing w:val="-20"/>
                <w:kern w:val="0"/>
                <w:sz w:val="20"/>
                <w:szCs w:val="20"/>
                <w:highlight w:val="none"/>
              </w:rPr>
              <w:t>评价计分标准）</w:t>
            </w:r>
          </w:p>
        </w:tc>
        <w:tc>
          <w:tcPr>
            <w:tcW w:w="6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自评</w:t>
            </w:r>
          </w:p>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分数</w:t>
            </w:r>
          </w:p>
        </w:tc>
        <w:tc>
          <w:tcPr>
            <w:tcW w:w="232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自评</w:t>
            </w:r>
          </w:p>
          <w:p>
            <w:pPr>
              <w:widowControl/>
              <w:jc w:val="center"/>
              <w:rPr>
                <w:rFonts w:ascii="Times New Roman" w:hAnsi="Times New Roman"/>
                <w:b/>
                <w:bCs/>
                <w:spacing w:val="-20"/>
                <w:kern w:val="0"/>
                <w:sz w:val="20"/>
                <w:szCs w:val="20"/>
                <w:highlight w:val="none"/>
              </w:rPr>
            </w:pPr>
            <w:r>
              <w:rPr>
                <w:rFonts w:ascii="Times New Roman"/>
                <w:b/>
                <w:bCs/>
                <w:spacing w:val="-20"/>
                <w:kern w:val="0"/>
                <w:sz w:val="20"/>
                <w:szCs w:val="20"/>
                <w:highlight w:val="none"/>
              </w:rPr>
              <w:t>依据及说明</w:t>
            </w:r>
          </w:p>
        </w:tc>
      </w:tr>
      <w:tr>
        <w:tblPrEx>
          <w:tblCellMar>
            <w:top w:w="0" w:type="dxa"/>
            <w:left w:w="108" w:type="dxa"/>
            <w:bottom w:w="0" w:type="dxa"/>
            <w:right w:w="108" w:type="dxa"/>
          </w:tblCellMar>
        </w:tblPrEx>
        <w:trPr>
          <w:trHeight w:val="2184" w:hRule="atLeast"/>
          <w:jc w:val="center"/>
        </w:trPr>
        <w:tc>
          <w:tcPr>
            <w:tcW w:w="624" w:type="dxa"/>
            <w:vMerge w:val="restart"/>
            <w:tcBorders>
              <w:top w:val="nil"/>
              <w:left w:val="single" w:color="auto" w:sz="4" w:space="0"/>
              <w:bottom w:val="single" w:color="000000" w:sz="4" w:space="0"/>
              <w:right w:val="single" w:color="auto" w:sz="4" w:space="0"/>
            </w:tcBorders>
            <w:noWrap/>
            <w:textDirection w:val="tbRlV"/>
            <w:vAlign w:val="center"/>
          </w:tcPr>
          <w:p>
            <w:pPr>
              <w:widowControl/>
              <w:jc w:val="center"/>
              <w:rPr>
                <w:rFonts w:ascii="Times New Roman" w:hAnsi="Times New Roman"/>
                <w:kern w:val="0"/>
                <w:sz w:val="20"/>
                <w:szCs w:val="20"/>
                <w:highlight w:val="none"/>
              </w:rPr>
            </w:pPr>
            <w:r>
              <w:rPr>
                <w:rFonts w:ascii="Times New Roman"/>
                <w:kern w:val="0"/>
                <w:sz w:val="20"/>
                <w:szCs w:val="20"/>
                <w:highlight w:val="none"/>
              </w:rPr>
              <w:t>投入（</w:t>
            </w:r>
            <w:r>
              <w:rPr>
                <w:rFonts w:ascii="Times New Roman" w:hAnsi="Times New Roman"/>
                <w:kern w:val="0"/>
                <w:sz w:val="20"/>
                <w:szCs w:val="20"/>
                <w:highlight w:val="none"/>
              </w:rPr>
              <w:t>20</w:t>
            </w:r>
            <w:r>
              <w:rPr>
                <w:rFonts w:ascii="Times New Roman"/>
                <w:kern w:val="0"/>
                <w:sz w:val="20"/>
                <w:szCs w:val="20"/>
                <w:highlight w:val="none"/>
              </w:rPr>
              <w:t>分）</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r>
              <w:rPr>
                <w:rFonts w:ascii="Times New Roman"/>
                <w:spacing w:val="-20"/>
                <w:kern w:val="0"/>
                <w:sz w:val="20"/>
                <w:szCs w:val="20"/>
                <w:highlight w:val="none"/>
              </w:rPr>
              <w:t>目标设定（</w:t>
            </w:r>
            <w:r>
              <w:rPr>
                <w:rFonts w:ascii="Times New Roman" w:hAnsi="Times New Roman"/>
                <w:spacing w:val="-20"/>
                <w:kern w:val="0"/>
                <w:sz w:val="20"/>
                <w:szCs w:val="20"/>
                <w:highlight w:val="none"/>
              </w:rPr>
              <w:t>5</w:t>
            </w:r>
            <w:r>
              <w:rPr>
                <w:rFonts w:ascii="Times New Roman"/>
                <w:spacing w:val="-20"/>
                <w:kern w:val="0"/>
                <w:sz w:val="20"/>
                <w:szCs w:val="20"/>
                <w:highlight w:val="none"/>
              </w:rPr>
              <w:t>分）</w:t>
            </w: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绩效目标合理性（</w:t>
            </w:r>
            <w:r>
              <w:rPr>
                <w:rFonts w:ascii="Times New Roman" w:hAnsi="Times New Roman"/>
                <w:kern w:val="0"/>
                <w:sz w:val="20"/>
                <w:szCs w:val="20"/>
                <w:highlight w:val="none"/>
              </w:rPr>
              <w:t>2</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部门（单位）所设立的整体绩效目标依据是否充分，是否符合客观实际，用以反映和考核部门（单位）整体绩效目标与部门履职、年度工作任务的相符性情况。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宋体" w:cs="宋体"/>
                <w:kern w:val="0"/>
                <w:sz w:val="20"/>
                <w:szCs w:val="20"/>
                <w:highlight w:val="none"/>
              </w:rPr>
              <w:t>①</w:t>
            </w:r>
            <w:r>
              <w:rPr>
                <w:rFonts w:ascii="Times New Roman"/>
                <w:kern w:val="0"/>
                <w:sz w:val="20"/>
                <w:szCs w:val="20"/>
                <w:highlight w:val="none"/>
              </w:rPr>
              <w:t>是否符合国家法律法规、国民经济和社会发展总体规划；</w:t>
            </w:r>
            <w:r>
              <w:rPr>
                <w:rFonts w:ascii="Times New Roman" w:hAnsi="Times New Roman"/>
                <w:kern w:val="0"/>
                <w:sz w:val="20"/>
                <w:szCs w:val="20"/>
                <w:highlight w:val="none"/>
              </w:rPr>
              <w:t>(1</w:t>
            </w:r>
            <w:r>
              <w:rPr>
                <w:rFonts w:ascii="Times New Roman"/>
                <w:kern w:val="0"/>
                <w:sz w:val="20"/>
                <w:szCs w:val="20"/>
                <w:highlight w:val="none"/>
              </w:rPr>
              <w:t>分）</w:t>
            </w:r>
            <w:r>
              <w:rPr>
                <w:rFonts w:ascii="Times New Roman" w:hAnsi="Times New Roman"/>
                <w:kern w:val="0"/>
                <w:sz w:val="20"/>
                <w:szCs w:val="20"/>
                <w:highlight w:val="none"/>
              </w:rPr>
              <w:br w:type="textWrapping"/>
            </w:r>
            <w:r>
              <w:rPr>
                <w:rFonts w:hint="eastAsia" w:ascii="Times New Roman" w:hAnsi="宋体" w:cs="宋体"/>
                <w:kern w:val="0"/>
                <w:sz w:val="20"/>
                <w:szCs w:val="20"/>
                <w:highlight w:val="none"/>
              </w:rPr>
              <w:t>②</w:t>
            </w:r>
            <w:r>
              <w:rPr>
                <w:rFonts w:ascii="Times New Roman"/>
                <w:kern w:val="0"/>
                <w:sz w:val="20"/>
                <w:szCs w:val="20"/>
                <w:highlight w:val="none"/>
              </w:rPr>
              <w:t>是否符合部门</w:t>
            </w:r>
            <w:r>
              <w:rPr>
                <w:rFonts w:ascii="Times New Roman" w:hAnsi="Times New Roman"/>
                <w:kern w:val="0"/>
                <w:sz w:val="20"/>
                <w:szCs w:val="20"/>
                <w:highlight w:val="none"/>
              </w:rPr>
              <w:t>“</w:t>
            </w:r>
            <w:r>
              <w:rPr>
                <w:rFonts w:ascii="Times New Roman"/>
                <w:kern w:val="0"/>
                <w:sz w:val="20"/>
                <w:szCs w:val="20"/>
                <w:highlight w:val="none"/>
              </w:rPr>
              <w:t>三定</w:t>
            </w:r>
            <w:r>
              <w:rPr>
                <w:rFonts w:ascii="Times New Roman" w:hAnsi="Times New Roman"/>
                <w:kern w:val="0"/>
                <w:sz w:val="20"/>
                <w:szCs w:val="20"/>
                <w:highlight w:val="none"/>
              </w:rPr>
              <w:t>”</w:t>
            </w:r>
            <w:r>
              <w:rPr>
                <w:rFonts w:ascii="Times New Roman"/>
                <w:kern w:val="0"/>
                <w:sz w:val="20"/>
                <w:szCs w:val="20"/>
                <w:highlight w:val="none"/>
              </w:rPr>
              <w:t>方案确定的职责；（</w:t>
            </w:r>
            <w:r>
              <w:rPr>
                <w:rFonts w:ascii="Times New Roman" w:hAnsi="Times New Roman"/>
                <w:kern w:val="0"/>
                <w:sz w:val="20"/>
                <w:szCs w:val="20"/>
                <w:highlight w:val="none"/>
              </w:rPr>
              <w:t>0.5</w:t>
            </w:r>
            <w:r>
              <w:rPr>
                <w:rFonts w:ascii="Times New Roman"/>
                <w:kern w:val="0"/>
                <w:sz w:val="20"/>
                <w:szCs w:val="20"/>
                <w:highlight w:val="none"/>
              </w:rPr>
              <w:t>分）</w:t>
            </w:r>
            <w:r>
              <w:rPr>
                <w:rFonts w:ascii="Times New Roman" w:hAnsi="Times New Roman"/>
                <w:kern w:val="0"/>
                <w:sz w:val="20"/>
                <w:szCs w:val="20"/>
                <w:highlight w:val="none"/>
              </w:rPr>
              <w:br w:type="textWrapping"/>
            </w:r>
            <w:r>
              <w:rPr>
                <w:rFonts w:hint="eastAsia" w:ascii="Times New Roman" w:hAnsi="宋体" w:cs="宋体"/>
                <w:kern w:val="0"/>
                <w:sz w:val="20"/>
                <w:szCs w:val="20"/>
                <w:highlight w:val="none"/>
              </w:rPr>
              <w:t>③</w:t>
            </w:r>
            <w:r>
              <w:rPr>
                <w:rFonts w:ascii="Times New Roman"/>
                <w:kern w:val="0"/>
                <w:sz w:val="20"/>
                <w:szCs w:val="20"/>
                <w:highlight w:val="none"/>
              </w:rPr>
              <w:t>是否符合部门制定的中长期实施规划。（</w:t>
            </w:r>
            <w:r>
              <w:rPr>
                <w:rFonts w:ascii="Times New Roman" w:hAnsi="Times New Roman"/>
                <w:kern w:val="0"/>
                <w:sz w:val="20"/>
                <w:szCs w:val="20"/>
                <w:highlight w:val="none"/>
              </w:rPr>
              <w:t>0.5</w:t>
            </w:r>
            <w:r>
              <w:rPr>
                <w:rFonts w:ascii="Times New Roman"/>
                <w:kern w:val="0"/>
                <w:sz w:val="20"/>
                <w:szCs w:val="20"/>
                <w:highlight w:val="none"/>
              </w:rPr>
              <w:t>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符合《中国共产党纪律处分条例》《中华人民共和国监察法》等法律法规，符合“三定”方案确定的“监督执纪问责”职能职责</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2305" w:hRule="atLeast"/>
          <w:jc w:val="center"/>
        </w:trPr>
        <w:tc>
          <w:tcPr>
            <w:tcW w:w="6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绩效指标明确性（</w:t>
            </w:r>
            <w:r>
              <w:rPr>
                <w:rFonts w:ascii="Times New Roman" w:hAnsi="Times New Roman"/>
                <w:kern w:val="0"/>
                <w:sz w:val="20"/>
                <w:szCs w:val="20"/>
                <w:highlight w:val="none"/>
              </w:rPr>
              <w:t>3</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部门（单位）依据整体绩效目标所设定的绩效指标是否清晰、细化、可衡量，用以反映和考核部门（单位）整体绩效目标的明细化情况。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宋体" w:cs="宋体"/>
                <w:kern w:val="0"/>
                <w:sz w:val="20"/>
                <w:szCs w:val="20"/>
                <w:highlight w:val="none"/>
              </w:rPr>
              <w:t>①</w:t>
            </w:r>
            <w:r>
              <w:rPr>
                <w:rFonts w:ascii="Times New Roman"/>
                <w:kern w:val="0"/>
                <w:sz w:val="20"/>
                <w:szCs w:val="20"/>
                <w:highlight w:val="none"/>
              </w:rPr>
              <w:t>是</w:t>
            </w:r>
            <w:r>
              <w:rPr>
                <w:rFonts w:ascii="Times New Roman"/>
                <w:spacing w:val="-16"/>
                <w:kern w:val="0"/>
                <w:sz w:val="20"/>
                <w:szCs w:val="20"/>
                <w:highlight w:val="none"/>
              </w:rPr>
              <w:t>否将部门整体的绩效目标细化分解为具体的工作任务；（</w:t>
            </w:r>
            <w:r>
              <w:rPr>
                <w:rFonts w:ascii="Times New Roman" w:hAnsi="Times New Roman"/>
                <w:spacing w:val="-16"/>
                <w:kern w:val="0"/>
                <w:sz w:val="20"/>
                <w:szCs w:val="20"/>
                <w:highlight w:val="none"/>
              </w:rPr>
              <w:t>1</w:t>
            </w:r>
            <w:r>
              <w:rPr>
                <w:rFonts w:ascii="Times New Roman"/>
                <w:spacing w:val="-16"/>
                <w:kern w:val="0"/>
                <w:sz w:val="20"/>
                <w:szCs w:val="20"/>
                <w:highlight w:val="none"/>
              </w:rPr>
              <w:t>分）</w:t>
            </w:r>
            <w:r>
              <w:rPr>
                <w:rFonts w:ascii="Times New Roman" w:hAnsi="Times New Roman"/>
                <w:kern w:val="0"/>
                <w:sz w:val="20"/>
                <w:szCs w:val="20"/>
                <w:highlight w:val="none"/>
              </w:rPr>
              <w:br w:type="textWrapping"/>
            </w:r>
            <w:r>
              <w:rPr>
                <w:rFonts w:hint="eastAsia" w:ascii="Times New Roman" w:hAnsi="宋体" w:cs="宋体"/>
                <w:kern w:val="0"/>
                <w:sz w:val="20"/>
                <w:szCs w:val="20"/>
                <w:highlight w:val="none"/>
              </w:rPr>
              <w:t>②</w:t>
            </w:r>
            <w:r>
              <w:rPr>
                <w:rFonts w:ascii="Times New Roman"/>
                <w:kern w:val="0"/>
                <w:sz w:val="20"/>
                <w:szCs w:val="20"/>
                <w:highlight w:val="none"/>
              </w:rPr>
              <w:t>是否通过清晰、可衡量的指标值予以体现</w:t>
            </w:r>
            <w:r>
              <w:rPr>
                <w:rFonts w:ascii="Times New Roman" w:hAnsi="Times New Roman"/>
                <w:kern w:val="0"/>
                <w:sz w:val="20"/>
                <w:szCs w:val="20"/>
                <w:highlight w:val="none"/>
              </w:rPr>
              <w:t>;(0.5</w:t>
            </w:r>
            <w:r>
              <w:rPr>
                <w:rFonts w:ascii="Times New Roman"/>
                <w:kern w:val="0"/>
                <w:sz w:val="20"/>
                <w:szCs w:val="20"/>
                <w:highlight w:val="none"/>
              </w:rPr>
              <w:t>分）</w:t>
            </w:r>
            <w:r>
              <w:rPr>
                <w:rFonts w:ascii="Times New Roman" w:hAnsi="Times New Roman"/>
                <w:kern w:val="0"/>
                <w:sz w:val="20"/>
                <w:szCs w:val="20"/>
                <w:highlight w:val="none"/>
              </w:rPr>
              <w:t xml:space="preserve">    </w:t>
            </w:r>
            <w:r>
              <w:rPr>
                <w:rFonts w:hint="eastAsia" w:ascii="Times New Roman" w:hAnsi="宋体" w:cs="宋体"/>
                <w:kern w:val="0"/>
                <w:sz w:val="20"/>
                <w:szCs w:val="20"/>
                <w:highlight w:val="none"/>
              </w:rPr>
              <w:t>③</w:t>
            </w:r>
            <w:r>
              <w:rPr>
                <w:rFonts w:ascii="Times New Roman"/>
                <w:kern w:val="0"/>
                <w:sz w:val="20"/>
                <w:szCs w:val="20"/>
                <w:highlight w:val="none"/>
              </w:rPr>
              <w:t>是否与部门年度的任务数或计划数相对应；（</w:t>
            </w:r>
            <w:r>
              <w:rPr>
                <w:rFonts w:ascii="Times New Roman" w:hAnsi="Times New Roman"/>
                <w:kern w:val="0"/>
                <w:sz w:val="20"/>
                <w:szCs w:val="20"/>
                <w:highlight w:val="none"/>
              </w:rPr>
              <w:t>0.5</w:t>
            </w:r>
            <w:r>
              <w:rPr>
                <w:rFonts w:ascii="Times New Roman"/>
                <w:kern w:val="0"/>
                <w:sz w:val="20"/>
                <w:szCs w:val="20"/>
                <w:highlight w:val="none"/>
              </w:rPr>
              <w:t>分）</w:t>
            </w:r>
            <w:r>
              <w:rPr>
                <w:rFonts w:ascii="Times New Roman" w:hAnsi="Times New Roman"/>
                <w:kern w:val="0"/>
                <w:sz w:val="20"/>
                <w:szCs w:val="20"/>
                <w:highlight w:val="none"/>
              </w:rPr>
              <w:br w:type="textWrapping"/>
            </w:r>
            <w:r>
              <w:rPr>
                <w:rFonts w:hint="eastAsia" w:ascii="Times New Roman" w:hAnsi="宋体" w:cs="宋体"/>
                <w:kern w:val="0"/>
                <w:sz w:val="20"/>
                <w:szCs w:val="20"/>
                <w:highlight w:val="none"/>
              </w:rPr>
              <w:t>④</w:t>
            </w:r>
            <w:r>
              <w:rPr>
                <w:rFonts w:ascii="Times New Roman"/>
                <w:kern w:val="0"/>
                <w:sz w:val="20"/>
                <w:szCs w:val="20"/>
                <w:highlight w:val="none"/>
              </w:rPr>
              <w:t>是否与本年度部门预算资金相匹配。（</w:t>
            </w:r>
            <w:r>
              <w:rPr>
                <w:rFonts w:ascii="Times New Roman" w:hAnsi="Times New Roman"/>
                <w:kern w:val="0"/>
                <w:sz w:val="20"/>
                <w:szCs w:val="20"/>
                <w:highlight w:val="none"/>
              </w:rPr>
              <w:t>1</w:t>
            </w:r>
            <w:r>
              <w:rPr>
                <w:rFonts w:ascii="Times New Roman"/>
                <w:kern w:val="0"/>
                <w:sz w:val="20"/>
                <w:szCs w:val="20"/>
                <w:highlight w:val="none"/>
              </w:rPr>
              <w:t>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3</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将部门整体的绩效目标细化分解为8个具体的工作任务，通过清晰、可衡量的指标值予以体现，与本年度部门预算资金相匹配</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2494" w:hRule="atLeast"/>
          <w:jc w:val="center"/>
        </w:trPr>
        <w:tc>
          <w:tcPr>
            <w:tcW w:w="6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r>
              <w:rPr>
                <w:rFonts w:ascii="Times New Roman"/>
                <w:spacing w:val="-20"/>
                <w:kern w:val="0"/>
                <w:sz w:val="20"/>
                <w:szCs w:val="20"/>
                <w:highlight w:val="none"/>
              </w:rPr>
              <w:t>预算配置（</w:t>
            </w:r>
            <w:r>
              <w:rPr>
                <w:rFonts w:ascii="Times New Roman" w:hAnsi="Times New Roman"/>
                <w:spacing w:val="-20"/>
                <w:kern w:val="0"/>
                <w:sz w:val="20"/>
                <w:szCs w:val="20"/>
                <w:highlight w:val="none"/>
              </w:rPr>
              <w:t>15</w:t>
            </w:r>
            <w:r>
              <w:rPr>
                <w:rFonts w:ascii="Times New Roman"/>
                <w:spacing w:val="-20"/>
                <w:kern w:val="0"/>
                <w:sz w:val="20"/>
                <w:szCs w:val="20"/>
                <w:highlight w:val="none"/>
              </w:rPr>
              <w:t>分）</w:t>
            </w: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在职人员控制率（</w:t>
            </w:r>
            <w:r>
              <w:rPr>
                <w:rFonts w:ascii="Times New Roman" w:hAnsi="Times New Roman"/>
                <w:kern w:val="0"/>
                <w:sz w:val="20"/>
                <w:szCs w:val="20"/>
                <w:highlight w:val="none"/>
              </w:rPr>
              <w:t>5</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部门（单位）本年度实际在职人员数与编制数的比率，用以反映和考核部门（单位）对人员成本的控制程度。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在职人员控制率</w:t>
            </w:r>
            <w:r>
              <w:rPr>
                <w:rFonts w:ascii="Times New Roman" w:hAnsi="Times New Roman"/>
                <w:kern w:val="0"/>
                <w:sz w:val="20"/>
                <w:szCs w:val="20"/>
                <w:highlight w:val="none"/>
              </w:rPr>
              <w:t>=</w:t>
            </w:r>
            <w:r>
              <w:rPr>
                <w:rFonts w:ascii="Times New Roman"/>
                <w:kern w:val="0"/>
                <w:sz w:val="20"/>
                <w:szCs w:val="20"/>
                <w:highlight w:val="none"/>
              </w:rPr>
              <w:t>（在职人员数</w:t>
            </w:r>
            <w:r>
              <w:rPr>
                <w:rFonts w:ascii="Times New Roman" w:hAnsi="Times New Roman"/>
                <w:kern w:val="0"/>
                <w:sz w:val="20"/>
                <w:szCs w:val="20"/>
                <w:highlight w:val="none"/>
              </w:rPr>
              <w:t>/</w:t>
            </w:r>
            <w:r>
              <w:rPr>
                <w:rFonts w:ascii="Times New Roman"/>
                <w:kern w:val="0"/>
                <w:sz w:val="20"/>
                <w:szCs w:val="20"/>
                <w:highlight w:val="none"/>
              </w:rPr>
              <w:t>编制数）</w:t>
            </w:r>
            <w:r>
              <w:rPr>
                <w:rFonts w:ascii="Times New Roman" w:hAnsi="Times New Roman"/>
                <w:kern w:val="0"/>
                <w:sz w:val="20"/>
                <w:szCs w:val="20"/>
                <w:highlight w:val="none"/>
              </w:rPr>
              <w:t>×100%</w:t>
            </w:r>
            <w:r>
              <w:rPr>
                <w:rFonts w:ascii="Times New Roman"/>
                <w:kern w:val="0"/>
                <w:sz w:val="20"/>
                <w:szCs w:val="20"/>
                <w:highlight w:val="none"/>
              </w:rPr>
              <w:t>。（小于或等于</w:t>
            </w:r>
            <w:r>
              <w:rPr>
                <w:rFonts w:ascii="Times New Roman" w:hAnsi="Times New Roman"/>
                <w:kern w:val="0"/>
                <w:sz w:val="20"/>
                <w:szCs w:val="20"/>
                <w:highlight w:val="none"/>
              </w:rPr>
              <w:t>1</w:t>
            </w:r>
            <w:r>
              <w:rPr>
                <w:rFonts w:ascii="Times New Roman"/>
                <w:kern w:val="0"/>
                <w:sz w:val="20"/>
                <w:szCs w:val="20"/>
                <w:highlight w:val="none"/>
              </w:rPr>
              <w:t>计</w:t>
            </w:r>
            <w:r>
              <w:rPr>
                <w:rFonts w:ascii="Times New Roman" w:hAnsi="Times New Roman"/>
                <w:kern w:val="0"/>
                <w:sz w:val="20"/>
                <w:szCs w:val="20"/>
                <w:highlight w:val="none"/>
              </w:rPr>
              <w:t>5</w:t>
            </w:r>
            <w:r>
              <w:rPr>
                <w:rFonts w:ascii="Times New Roman"/>
                <w:kern w:val="0"/>
                <w:sz w:val="20"/>
                <w:szCs w:val="20"/>
                <w:highlight w:val="none"/>
              </w:rPr>
              <w:t>分，否则按比例计分）</w:t>
            </w:r>
            <w:r>
              <w:rPr>
                <w:rFonts w:ascii="Times New Roman" w:hAnsi="Times New Roman"/>
                <w:kern w:val="0"/>
                <w:sz w:val="20"/>
                <w:szCs w:val="20"/>
                <w:highlight w:val="none"/>
              </w:rPr>
              <w:br w:type="textWrapping"/>
            </w:r>
            <w:r>
              <w:rPr>
                <w:rFonts w:ascii="Times New Roman"/>
                <w:kern w:val="0"/>
                <w:sz w:val="20"/>
                <w:szCs w:val="20"/>
                <w:highlight w:val="none"/>
              </w:rPr>
              <w:t>在职人员数：部门（单位）实际在职人数，以财政部确定的部门决算编制口径为准。</w:t>
            </w:r>
            <w:r>
              <w:rPr>
                <w:rFonts w:ascii="Times New Roman" w:hAnsi="Times New Roman"/>
                <w:kern w:val="0"/>
                <w:sz w:val="20"/>
                <w:szCs w:val="20"/>
                <w:highlight w:val="none"/>
              </w:rPr>
              <w:br w:type="textWrapping"/>
            </w:r>
            <w:r>
              <w:rPr>
                <w:rFonts w:ascii="Times New Roman"/>
                <w:kern w:val="0"/>
                <w:sz w:val="20"/>
                <w:szCs w:val="20"/>
                <w:highlight w:val="none"/>
              </w:rPr>
              <w:t>编制数：机构编制部门核定批复的部门（单位）的人员编制数。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年末在职人员数1</w:t>
            </w:r>
            <w:r>
              <w:rPr>
                <w:rFonts w:hint="eastAsia" w:ascii="宋体" w:hAnsi="宋体" w:eastAsia="宋体" w:cs="宋体"/>
                <w:kern w:val="0"/>
                <w:sz w:val="20"/>
                <w:szCs w:val="20"/>
                <w:lang w:val="en-US" w:eastAsia="zh-CN"/>
              </w:rPr>
              <w:t>49</w:t>
            </w:r>
            <w:r>
              <w:rPr>
                <w:rFonts w:hint="eastAsia" w:ascii="宋体" w:hAnsi="宋体" w:eastAsia="宋体" w:cs="宋体"/>
                <w:kern w:val="0"/>
                <w:sz w:val="20"/>
                <w:szCs w:val="20"/>
              </w:rPr>
              <w:t>人，编制数</w:t>
            </w:r>
            <w:r>
              <w:rPr>
                <w:rFonts w:hint="eastAsia" w:ascii="宋体" w:hAnsi="宋体" w:eastAsia="宋体" w:cs="宋体"/>
                <w:kern w:val="0"/>
                <w:sz w:val="20"/>
                <w:szCs w:val="20"/>
                <w:lang w:val="en-US" w:eastAsia="zh-CN"/>
              </w:rPr>
              <w:t>169</w:t>
            </w:r>
            <w:r>
              <w:rPr>
                <w:rFonts w:hint="eastAsia" w:ascii="宋体" w:hAnsi="宋体" w:eastAsia="宋体" w:cs="宋体"/>
                <w:kern w:val="0"/>
                <w:sz w:val="20"/>
                <w:szCs w:val="20"/>
              </w:rPr>
              <w:t>个，在职人员控制率=1</w:t>
            </w:r>
            <w:r>
              <w:rPr>
                <w:rFonts w:hint="eastAsia" w:ascii="宋体" w:hAnsi="宋体" w:eastAsia="宋体" w:cs="宋体"/>
                <w:kern w:val="0"/>
                <w:sz w:val="20"/>
                <w:szCs w:val="20"/>
                <w:lang w:val="en-US" w:eastAsia="zh-CN"/>
              </w:rPr>
              <w:t>49</w:t>
            </w:r>
            <w:r>
              <w:rPr>
                <w:rFonts w:hint="eastAsia" w:ascii="宋体" w:hAnsi="宋体" w:eastAsia="宋体" w:cs="宋体"/>
                <w:kern w:val="0"/>
                <w:sz w:val="20"/>
                <w:szCs w:val="20"/>
              </w:rPr>
              <w:t>÷1</w:t>
            </w:r>
            <w:r>
              <w:rPr>
                <w:rFonts w:hint="eastAsia" w:ascii="宋体" w:hAnsi="宋体" w:eastAsia="宋体" w:cs="宋体"/>
                <w:kern w:val="0"/>
                <w:sz w:val="20"/>
                <w:szCs w:val="20"/>
                <w:lang w:val="en-US" w:eastAsia="zh-CN"/>
              </w:rPr>
              <w:t>69</w:t>
            </w:r>
            <w:r>
              <w:rPr>
                <w:rFonts w:hint="eastAsia" w:ascii="宋体" w:hAnsi="宋体" w:eastAsia="宋体" w:cs="宋体"/>
                <w:kern w:val="0"/>
                <w:sz w:val="20"/>
                <w:szCs w:val="20"/>
              </w:rPr>
              <w:t>×100%=</w:t>
            </w:r>
            <w:r>
              <w:rPr>
                <w:rFonts w:hint="eastAsia" w:ascii="宋体" w:hAnsi="宋体" w:eastAsia="宋体" w:cs="宋体"/>
                <w:kern w:val="0"/>
                <w:sz w:val="20"/>
                <w:szCs w:val="20"/>
                <w:lang w:val="en-US" w:eastAsia="zh-CN"/>
              </w:rPr>
              <w:t>88</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17</w:t>
            </w: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494" w:hRule="atLeast"/>
          <w:jc w:val="center"/>
        </w:trPr>
        <w:tc>
          <w:tcPr>
            <w:tcW w:w="6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w:t>
            </w:r>
            <w:r>
              <w:rPr>
                <w:rFonts w:ascii="Times New Roman"/>
                <w:kern w:val="0"/>
                <w:sz w:val="20"/>
                <w:szCs w:val="20"/>
                <w:highlight w:val="none"/>
              </w:rPr>
              <w:t>三公经费</w:t>
            </w:r>
            <w:r>
              <w:rPr>
                <w:rFonts w:ascii="Times New Roman" w:hAnsi="Times New Roman"/>
                <w:kern w:val="0"/>
                <w:sz w:val="20"/>
                <w:szCs w:val="20"/>
                <w:highlight w:val="none"/>
              </w:rPr>
              <w:t>”</w:t>
            </w:r>
            <w:r>
              <w:rPr>
                <w:rFonts w:ascii="Times New Roman"/>
                <w:kern w:val="0"/>
                <w:sz w:val="20"/>
                <w:szCs w:val="20"/>
                <w:highlight w:val="none"/>
              </w:rPr>
              <w:t>变动率（</w:t>
            </w:r>
            <w:r>
              <w:rPr>
                <w:rFonts w:ascii="Times New Roman" w:hAnsi="Times New Roman"/>
                <w:kern w:val="0"/>
                <w:sz w:val="20"/>
                <w:szCs w:val="20"/>
                <w:highlight w:val="none"/>
              </w:rPr>
              <w:t>5</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部门（单位）本年度</w:t>
            </w:r>
            <w:r>
              <w:rPr>
                <w:rFonts w:ascii="Times New Roman" w:hAnsi="Times New Roman"/>
                <w:kern w:val="0"/>
                <w:sz w:val="20"/>
                <w:szCs w:val="20"/>
                <w:highlight w:val="none"/>
              </w:rPr>
              <w:t>“</w:t>
            </w:r>
            <w:r>
              <w:rPr>
                <w:rFonts w:ascii="Times New Roman"/>
                <w:kern w:val="0"/>
                <w:sz w:val="20"/>
                <w:szCs w:val="20"/>
                <w:highlight w:val="none"/>
              </w:rPr>
              <w:t>三公经费</w:t>
            </w:r>
            <w:r>
              <w:rPr>
                <w:rFonts w:ascii="Times New Roman" w:hAnsi="Times New Roman"/>
                <w:kern w:val="0"/>
                <w:sz w:val="20"/>
                <w:szCs w:val="20"/>
                <w:highlight w:val="none"/>
              </w:rPr>
              <w:t>”</w:t>
            </w:r>
            <w:r>
              <w:rPr>
                <w:rFonts w:ascii="Times New Roman"/>
                <w:kern w:val="0"/>
                <w:sz w:val="20"/>
                <w:szCs w:val="20"/>
                <w:highlight w:val="none"/>
              </w:rPr>
              <w:t>预算数与上年度</w:t>
            </w:r>
            <w:r>
              <w:rPr>
                <w:rFonts w:ascii="Times New Roman" w:hAnsi="Times New Roman"/>
                <w:kern w:val="0"/>
                <w:sz w:val="20"/>
                <w:szCs w:val="20"/>
                <w:highlight w:val="none"/>
              </w:rPr>
              <w:t>“</w:t>
            </w:r>
            <w:r>
              <w:rPr>
                <w:rFonts w:ascii="Times New Roman"/>
                <w:kern w:val="0"/>
                <w:sz w:val="20"/>
                <w:szCs w:val="20"/>
                <w:highlight w:val="none"/>
              </w:rPr>
              <w:t>三公经费</w:t>
            </w:r>
            <w:r>
              <w:rPr>
                <w:rFonts w:ascii="Times New Roman" w:hAnsi="Times New Roman"/>
                <w:kern w:val="0"/>
                <w:sz w:val="20"/>
                <w:szCs w:val="20"/>
                <w:highlight w:val="none"/>
              </w:rPr>
              <w:t>”</w:t>
            </w:r>
            <w:r>
              <w:rPr>
                <w:rFonts w:ascii="Times New Roman"/>
                <w:kern w:val="0"/>
                <w:sz w:val="20"/>
                <w:szCs w:val="20"/>
                <w:highlight w:val="none"/>
              </w:rPr>
              <w:t>预算数的变动比率，用以反映和考核部门（单位）对控制重点行政成本的努力程度。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w:t>
            </w:r>
            <w:r>
              <w:rPr>
                <w:rFonts w:ascii="Times New Roman"/>
                <w:kern w:val="0"/>
                <w:sz w:val="20"/>
                <w:szCs w:val="20"/>
                <w:highlight w:val="none"/>
              </w:rPr>
              <w:t>三公经费</w:t>
            </w:r>
            <w:r>
              <w:rPr>
                <w:rFonts w:ascii="Times New Roman" w:hAnsi="Times New Roman"/>
                <w:kern w:val="0"/>
                <w:sz w:val="20"/>
                <w:szCs w:val="20"/>
                <w:highlight w:val="none"/>
              </w:rPr>
              <w:t>”</w:t>
            </w:r>
            <w:r>
              <w:rPr>
                <w:rFonts w:ascii="Times New Roman"/>
                <w:kern w:val="0"/>
                <w:sz w:val="20"/>
                <w:szCs w:val="20"/>
                <w:highlight w:val="none"/>
              </w:rPr>
              <w:t>变动率</w:t>
            </w:r>
            <w:r>
              <w:rPr>
                <w:rFonts w:ascii="Times New Roman" w:hAnsi="Times New Roman"/>
                <w:kern w:val="0"/>
                <w:sz w:val="20"/>
                <w:szCs w:val="20"/>
                <w:highlight w:val="none"/>
              </w:rPr>
              <w:t>=[</w:t>
            </w:r>
            <w:r>
              <w:rPr>
                <w:rFonts w:ascii="Times New Roman"/>
                <w:kern w:val="0"/>
                <w:sz w:val="20"/>
                <w:szCs w:val="20"/>
                <w:highlight w:val="none"/>
              </w:rPr>
              <w:t>（本年度</w:t>
            </w:r>
            <w:r>
              <w:rPr>
                <w:rFonts w:ascii="Times New Roman" w:hAnsi="Times New Roman"/>
                <w:kern w:val="0"/>
                <w:sz w:val="20"/>
                <w:szCs w:val="20"/>
                <w:highlight w:val="none"/>
              </w:rPr>
              <w:t>“</w:t>
            </w:r>
            <w:r>
              <w:rPr>
                <w:rFonts w:ascii="Times New Roman"/>
                <w:kern w:val="0"/>
                <w:sz w:val="20"/>
                <w:szCs w:val="20"/>
                <w:highlight w:val="none"/>
              </w:rPr>
              <w:t>三公经费</w:t>
            </w:r>
            <w:r>
              <w:rPr>
                <w:rFonts w:ascii="Times New Roman" w:hAnsi="Times New Roman"/>
                <w:kern w:val="0"/>
                <w:sz w:val="20"/>
                <w:szCs w:val="20"/>
                <w:highlight w:val="none"/>
              </w:rPr>
              <w:t>”</w:t>
            </w:r>
            <w:r>
              <w:rPr>
                <w:rFonts w:ascii="Times New Roman"/>
                <w:kern w:val="0"/>
                <w:sz w:val="20"/>
                <w:szCs w:val="20"/>
                <w:highlight w:val="none"/>
              </w:rPr>
              <w:t>总额</w:t>
            </w:r>
            <w:r>
              <w:rPr>
                <w:rFonts w:ascii="Times New Roman" w:hAnsi="Times New Roman"/>
                <w:kern w:val="0"/>
                <w:sz w:val="20"/>
                <w:szCs w:val="20"/>
                <w:highlight w:val="none"/>
              </w:rPr>
              <w:t>-</w:t>
            </w:r>
            <w:r>
              <w:rPr>
                <w:rFonts w:ascii="Times New Roman"/>
                <w:kern w:val="0"/>
                <w:sz w:val="20"/>
                <w:szCs w:val="20"/>
                <w:highlight w:val="none"/>
              </w:rPr>
              <w:t>上年度</w:t>
            </w:r>
            <w:r>
              <w:rPr>
                <w:rFonts w:ascii="Times New Roman" w:hAnsi="Times New Roman"/>
                <w:kern w:val="0"/>
                <w:sz w:val="20"/>
                <w:szCs w:val="20"/>
                <w:highlight w:val="none"/>
              </w:rPr>
              <w:t>“</w:t>
            </w:r>
            <w:r>
              <w:rPr>
                <w:rFonts w:ascii="Times New Roman"/>
                <w:kern w:val="0"/>
                <w:sz w:val="20"/>
                <w:szCs w:val="20"/>
                <w:highlight w:val="none"/>
              </w:rPr>
              <w:t>三公经费</w:t>
            </w:r>
            <w:r>
              <w:rPr>
                <w:rFonts w:ascii="Times New Roman" w:hAnsi="Times New Roman"/>
                <w:kern w:val="0"/>
                <w:sz w:val="20"/>
                <w:szCs w:val="20"/>
                <w:highlight w:val="none"/>
              </w:rPr>
              <w:t>”</w:t>
            </w:r>
            <w:r>
              <w:rPr>
                <w:rFonts w:ascii="Times New Roman"/>
                <w:kern w:val="0"/>
                <w:sz w:val="20"/>
                <w:szCs w:val="20"/>
                <w:highlight w:val="none"/>
              </w:rPr>
              <w:t>总额）</w:t>
            </w:r>
            <w:r>
              <w:rPr>
                <w:rFonts w:ascii="Times New Roman" w:hAnsi="Times New Roman"/>
                <w:kern w:val="0"/>
                <w:sz w:val="20"/>
                <w:szCs w:val="20"/>
                <w:highlight w:val="none"/>
              </w:rPr>
              <w:t>/</w:t>
            </w:r>
            <w:r>
              <w:rPr>
                <w:rFonts w:ascii="Times New Roman"/>
                <w:kern w:val="0"/>
                <w:sz w:val="20"/>
                <w:szCs w:val="20"/>
                <w:highlight w:val="none"/>
              </w:rPr>
              <w:t>上年度</w:t>
            </w:r>
            <w:r>
              <w:rPr>
                <w:rFonts w:ascii="Times New Roman" w:hAnsi="Times New Roman"/>
                <w:kern w:val="0"/>
                <w:sz w:val="20"/>
                <w:szCs w:val="20"/>
                <w:highlight w:val="none"/>
              </w:rPr>
              <w:t>“</w:t>
            </w:r>
            <w:r>
              <w:rPr>
                <w:rFonts w:ascii="Times New Roman"/>
                <w:kern w:val="0"/>
                <w:sz w:val="20"/>
                <w:szCs w:val="20"/>
                <w:highlight w:val="none"/>
              </w:rPr>
              <w:t>三公经费</w:t>
            </w:r>
            <w:r>
              <w:rPr>
                <w:rFonts w:ascii="Times New Roman" w:hAnsi="Times New Roman"/>
                <w:kern w:val="0"/>
                <w:sz w:val="20"/>
                <w:szCs w:val="20"/>
                <w:highlight w:val="none"/>
              </w:rPr>
              <w:t>”</w:t>
            </w:r>
            <w:r>
              <w:rPr>
                <w:rFonts w:ascii="Times New Roman"/>
                <w:kern w:val="0"/>
                <w:sz w:val="20"/>
                <w:szCs w:val="20"/>
                <w:highlight w:val="none"/>
              </w:rPr>
              <w:t>总额</w:t>
            </w:r>
            <w:r>
              <w:rPr>
                <w:rFonts w:ascii="Times New Roman" w:hAnsi="Times New Roman"/>
                <w:kern w:val="0"/>
                <w:sz w:val="20"/>
                <w:szCs w:val="20"/>
                <w:highlight w:val="none"/>
              </w:rPr>
              <w:t>]×100%</w:t>
            </w:r>
            <w:r>
              <w:rPr>
                <w:rFonts w:ascii="Times New Roman"/>
                <w:kern w:val="0"/>
                <w:sz w:val="20"/>
                <w:szCs w:val="20"/>
                <w:highlight w:val="none"/>
              </w:rPr>
              <w:t>。（下降的计</w:t>
            </w:r>
            <w:r>
              <w:rPr>
                <w:rFonts w:ascii="Times New Roman" w:hAnsi="Times New Roman"/>
                <w:kern w:val="0"/>
                <w:sz w:val="20"/>
                <w:szCs w:val="20"/>
                <w:highlight w:val="none"/>
              </w:rPr>
              <w:t>5</w:t>
            </w:r>
            <w:r>
              <w:rPr>
                <w:rFonts w:ascii="Times New Roman"/>
                <w:kern w:val="0"/>
                <w:sz w:val="20"/>
                <w:szCs w:val="20"/>
                <w:highlight w:val="none"/>
              </w:rPr>
              <w:t>分，增加的按比例扣减）</w:t>
            </w:r>
            <w:r>
              <w:rPr>
                <w:rFonts w:ascii="Times New Roman" w:hAnsi="Times New Roman"/>
                <w:kern w:val="0"/>
                <w:sz w:val="20"/>
                <w:szCs w:val="20"/>
                <w:highlight w:val="none"/>
              </w:rPr>
              <w:br w:type="textWrapping"/>
            </w:r>
            <w:r>
              <w:rPr>
                <w:rFonts w:ascii="Times New Roman" w:hAnsi="Times New Roman"/>
                <w:kern w:val="0"/>
                <w:sz w:val="20"/>
                <w:szCs w:val="20"/>
                <w:highlight w:val="none"/>
              </w:rPr>
              <w:t>“</w:t>
            </w:r>
            <w:r>
              <w:rPr>
                <w:rFonts w:ascii="Times New Roman"/>
                <w:kern w:val="0"/>
                <w:sz w:val="20"/>
                <w:szCs w:val="20"/>
                <w:highlight w:val="none"/>
              </w:rPr>
              <w:t>三公经费</w:t>
            </w:r>
            <w:r>
              <w:rPr>
                <w:rFonts w:ascii="Times New Roman" w:hAnsi="Times New Roman"/>
                <w:kern w:val="0"/>
                <w:sz w:val="20"/>
                <w:szCs w:val="20"/>
                <w:highlight w:val="none"/>
              </w:rPr>
              <w:t>”</w:t>
            </w:r>
            <w:r>
              <w:rPr>
                <w:rFonts w:ascii="Times New Roman"/>
                <w:kern w:val="0"/>
                <w:sz w:val="20"/>
                <w:szCs w:val="20"/>
                <w:highlight w:val="none"/>
              </w:rPr>
              <w:t>：年度预算安排的因公出国（境）费、公务车辆购置及运行费和公务招待费。</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23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2023年</w:t>
            </w:r>
            <w:r>
              <w:rPr>
                <w:rFonts w:hint="eastAsia" w:ascii="宋体" w:hAnsi="宋体" w:eastAsia="宋体" w:cs="宋体"/>
                <w:kern w:val="0"/>
                <w:sz w:val="20"/>
                <w:szCs w:val="20"/>
              </w:rPr>
              <w:t>“三公经费”变动率=</w:t>
            </w:r>
            <w:r>
              <w:rPr>
                <w:rFonts w:hint="eastAsia" w:ascii="宋体" w:hAnsi="宋体" w:eastAsia="宋体" w:cs="宋体"/>
                <w:kern w:val="0"/>
                <w:sz w:val="20"/>
                <w:szCs w:val="20"/>
                <w:lang w:val="en-US" w:eastAsia="zh-CN"/>
              </w:rPr>
              <w:t>（37.62-39.24）／39.24×100%=-4.13%</w:t>
            </w:r>
          </w:p>
        </w:tc>
      </w:tr>
      <w:tr>
        <w:tblPrEx>
          <w:tblCellMar>
            <w:top w:w="0" w:type="dxa"/>
            <w:left w:w="108" w:type="dxa"/>
            <w:bottom w:w="0" w:type="dxa"/>
            <w:right w:w="108" w:type="dxa"/>
          </w:tblCellMar>
        </w:tblPrEx>
        <w:trPr>
          <w:trHeight w:val="3348" w:hRule="atLeast"/>
          <w:jc w:val="center"/>
        </w:trPr>
        <w:tc>
          <w:tcPr>
            <w:tcW w:w="6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重点支出安排率（</w:t>
            </w:r>
            <w:r>
              <w:rPr>
                <w:rFonts w:ascii="Times New Roman" w:hAnsi="Times New Roman"/>
                <w:kern w:val="0"/>
                <w:sz w:val="20"/>
                <w:szCs w:val="20"/>
                <w:highlight w:val="none"/>
              </w:rPr>
              <w:t>5</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部门（单位）本年度预算安排的重点项目支出与部门项目总支出的比率，用以反映和考核部门（单位）对履行主要职责或完成重点任务的保障程度。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重点支出安排率</w:t>
            </w:r>
            <w:r>
              <w:rPr>
                <w:rFonts w:ascii="Times New Roman" w:hAnsi="Times New Roman"/>
                <w:kern w:val="0"/>
                <w:sz w:val="20"/>
                <w:szCs w:val="20"/>
                <w:highlight w:val="none"/>
              </w:rPr>
              <w:t>=</w:t>
            </w:r>
            <w:r>
              <w:rPr>
                <w:rFonts w:ascii="Times New Roman"/>
                <w:kern w:val="0"/>
                <w:sz w:val="20"/>
                <w:szCs w:val="20"/>
                <w:highlight w:val="none"/>
              </w:rPr>
              <w:t>（重点项目支出</w:t>
            </w:r>
            <w:r>
              <w:rPr>
                <w:rFonts w:ascii="Times New Roman" w:hAnsi="Times New Roman"/>
                <w:kern w:val="0"/>
                <w:sz w:val="20"/>
                <w:szCs w:val="20"/>
                <w:highlight w:val="none"/>
              </w:rPr>
              <w:t>/</w:t>
            </w:r>
            <w:r>
              <w:rPr>
                <w:rFonts w:ascii="Times New Roman"/>
                <w:kern w:val="0"/>
                <w:sz w:val="20"/>
                <w:szCs w:val="20"/>
                <w:highlight w:val="none"/>
              </w:rPr>
              <w:t>项目总支出）</w:t>
            </w:r>
            <w:r>
              <w:rPr>
                <w:rFonts w:ascii="Times New Roman" w:hAnsi="Times New Roman"/>
                <w:kern w:val="0"/>
                <w:sz w:val="20"/>
                <w:szCs w:val="20"/>
                <w:highlight w:val="none"/>
              </w:rPr>
              <w:t>×100%</w:t>
            </w:r>
            <w:r>
              <w:rPr>
                <w:rFonts w:ascii="Times New Roman"/>
                <w:kern w:val="0"/>
                <w:sz w:val="20"/>
                <w:szCs w:val="20"/>
                <w:highlight w:val="none"/>
              </w:rPr>
              <w:t>。（实际得分</w:t>
            </w:r>
            <w:r>
              <w:rPr>
                <w:rFonts w:ascii="Times New Roman" w:hAnsi="Times New Roman"/>
                <w:kern w:val="0"/>
                <w:sz w:val="20"/>
                <w:szCs w:val="20"/>
                <w:highlight w:val="none"/>
              </w:rPr>
              <w:t>=</w:t>
            </w:r>
            <w:r>
              <w:rPr>
                <w:rFonts w:ascii="Times New Roman"/>
                <w:kern w:val="0"/>
                <w:sz w:val="20"/>
                <w:szCs w:val="20"/>
                <w:highlight w:val="none"/>
              </w:rPr>
              <w:t>支出安排率</w:t>
            </w:r>
            <w:r>
              <w:rPr>
                <w:rFonts w:ascii="Times New Roman" w:hAnsi="Times New Roman"/>
                <w:kern w:val="0"/>
                <w:sz w:val="20"/>
                <w:szCs w:val="20"/>
                <w:highlight w:val="none"/>
              </w:rPr>
              <w:t>*5</w:t>
            </w:r>
            <w:r>
              <w:rPr>
                <w:rFonts w:ascii="Times New Roman"/>
                <w:kern w:val="0"/>
                <w:sz w:val="20"/>
                <w:szCs w:val="20"/>
                <w:highlight w:val="none"/>
              </w:rPr>
              <w:t>分）</w:t>
            </w:r>
            <w:r>
              <w:rPr>
                <w:rFonts w:ascii="Times New Roman" w:hAnsi="Times New Roman"/>
                <w:kern w:val="0"/>
                <w:sz w:val="20"/>
                <w:szCs w:val="20"/>
                <w:highlight w:val="none"/>
              </w:rPr>
              <w:br w:type="textWrapping"/>
            </w:r>
            <w:r>
              <w:rPr>
                <w:rFonts w:ascii="Times New Roman"/>
                <w:kern w:val="0"/>
                <w:sz w:val="20"/>
                <w:szCs w:val="20"/>
                <w:highlight w:val="none"/>
              </w:rPr>
              <w:t>重点项目支出：部门（单位）年度预算安排的，与本部门履职和发展密切相关、具有明显社会和经济影响、党委政府关心或社会比较关注的项目支出总额。</w:t>
            </w:r>
            <w:r>
              <w:rPr>
                <w:rFonts w:ascii="Times New Roman" w:hAnsi="Times New Roman"/>
                <w:kern w:val="0"/>
                <w:sz w:val="20"/>
                <w:szCs w:val="20"/>
                <w:highlight w:val="none"/>
              </w:rPr>
              <w:br w:type="textWrapping"/>
            </w:r>
            <w:r>
              <w:rPr>
                <w:rFonts w:ascii="Times New Roman"/>
                <w:kern w:val="0"/>
                <w:sz w:val="20"/>
                <w:szCs w:val="20"/>
                <w:highlight w:val="none"/>
              </w:rPr>
              <w:t>项目总支出：部门（单位）年度预算安排的项目支出总额。</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5</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所有项目均属于履职、与促进社会发展密切相关、具有明显社会和经济效益的项目，故重点支出安排率</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423</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92</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423</w:t>
            </w:r>
            <w:r>
              <w:rPr>
                <w:rFonts w:hint="eastAsia" w:ascii="宋体" w:hAnsi="宋体" w:eastAsia="宋体" w:cs="宋体"/>
                <w:kern w:val="0"/>
                <w:sz w:val="20"/>
                <w:szCs w:val="20"/>
              </w:rPr>
              <w:t>.9</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）×100%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2518" w:hRule="atLeast"/>
          <w:jc w:val="center"/>
        </w:trPr>
        <w:tc>
          <w:tcPr>
            <w:tcW w:w="624" w:type="dxa"/>
            <w:vMerge w:val="restart"/>
            <w:tcBorders>
              <w:top w:val="nil"/>
              <w:left w:val="single" w:color="auto" w:sz="4" w:space="0"/>
              <w:right w:val="single" w:color="auto" w:sz="4" w:space="0"/>
            </w:tcBorders>
            <w:noWrap/>
            <w:textDirection w:val="tbRlV"/>
            <w:vAlign w:val="center"/>
          </w:tcPr>
          <w:p>
            <w:pPr>
              <w:widowControl/>
              <w:jc w:val="center"/>
              <w:rPr>
                <w:rFonts w:ascii="Times New Roman" w:hAnsi="Times New Roman"/>
                <w:kern w:val="0"/>
                <w:sz w:val="20"/>
                <w:szCs w:val="20"/>
                <w:highlight w:val="none"/>
              </w:rPr>
            </w:pPr>
            <w:r>
              <w:rPr>
                <w:rFonts w:ascii="Times New Roman"/>
                <w:kern w:val="0"/>
                <w:sz w:val="20"/>
                <w:szCs w:val="20"/>
                <w:highlight w:val="none"/>
              </w:rPr>
              <w:t>过程（</w:t>
            </w:r>
            <w:r>
              <w:rPr>
                <w:rFonts w:hint="eastAsia" w:ascii="Times New Roman" w:hAnsi="Times New Roman"/>
                <w:kern w:val="0"/>
                <w:sz w:val="20"/>
                <w:szCs w:val="20"/>
                <w:highlight w:val="none"/>
                <w:lang w:val="en-US" w:eastAsia="zh-CN"/>
              </w:rPr>
              <w:t>5</w:t>
            </w:r>
            <w:r>
              <w:rPr>
                <w:rFonts w:ascii="Times New Roman" w:hAnsi="Times New Roman"/>
                <w:kern w:val="0"/>
                <w:sz w:val="20"/>
                <w:szCs w:val="20"/>
                <w:highlight w:val="none"/>
              </w:rPr>
              <w:t>0</w:t>
            </w:r>
            <w:r>
              <w:rPr>
                <w:rFonts w:ascii="Times New Roman"/>
                <w:kern w:val="0"/>
                <w:sz w:val="20"/>
                <w:szCs w:val="20"/>
                <w:highlight w:val="none"/>
              </w:rPr>
              <w:t>分）</w:t>
            </w:r>
          </w:p>
        </w:tc>
        <w:tc>
          <w:tcPr>
            <w:tcW w:w="56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r>
              <w:rPr>
                <w:rFonts w:ascii="Times New Roman"/>
                <w:spacing w:val="-20"/>
                <w:kern w:val="0"/>
                <w:sz w:val="20"/>
                <w:szCs w:val="20"/>
                <w:highlight w:val="none"/>
              </w:rPr>
              <w:t>预算执行（</w:t>
            </w:r>
            <w:r>
              <w:rPr>
                <w:rFonts w:ascii="Times New Roman" w:hAnsi="Times New Roman"/>
                <w:spacing w:val="-20"/>
                <w:kern w:val="0"/>
                <w:sz w:val="20"/>
                <w:szCs w:val="20"/>
                <w:highlight w:val="none"/>
              </w:rPr>
              <w:t>20</w:t>
            </w:r>
            <w:r>
              <w:rPr>
                <w:rFonts w:ascii="Times New Roman"/>
                <w:spacing w:val="-20"/>
                <w:kern w:val="0"/>
                <w:sz w:val="20"/>
                <w:szCs w:val="20"/>
                <w:highlight w:val="none"/>
              </w:rPr>
              <w:t>分）</w:t>
            </w: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预算完成率（</w:t>
            </w:r>
            <w:r>
              <w:rPr>
                <w:rFonts w:ascii="Times New Roman" w:hAnsi="Times New Roman"/>
                <w:kern w:val="0"/>
                <w:sz w:val="20"/>
                <w:szCs w:val="20"/>
                <w:highlight w:val="none"/>
              </w:rPr>
              <w:t>4</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部门（单位）本年度预算完成数与预算数的比率，用以反映和考核部门（单位）预算完成程度。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预算完成率</w:t>
            </w:r>
            <w:r>
              <w:rPr>
                <w:rFonts w:ascii="Times New Roman" w:hAnsi="Times New Roman"/>
                <w:kern w:val="0"/>
                <w:sz w:val="20"/>
                <w:szCs w:val="20"/>
                <w:highlight w:val="none"/>
              </w:rPr>
              <w:t>=</w:t>
            </w:r>
            <w:r>
              <w:rPr>
                <w:rFonts w:ascii="Times New Roman"/>
                <w:kern w:val="0"/>
                <w:sz w:val="20"/>
                <w:szCs w:val="20"/>
                <w:highlight w:val="none"/>
              </w:rPr>
              <w:t>（预算完成数</w:t>
            </w:r>
            <w:r>
              <w:rPr>
                <w:rFonts w:ascii="Times New Roman" w:hAnsi="Times New Roman"/>
                <w:kern w:val="0"/>
                <w:sz w:val="20"/>
                <w:szCs w:val="20"/>
                <w:highlight w:val="none"/>
              </w:rPr>
              <w:t>/</w:t>
            </w:r>
            <w:r>
              <w:rPr>
                <w:rFonts w:ascii="Times New Roman"/>
                <w:kern w:val="0"/>
                <w:sz w:val="20"/>
                <w:szCs w:val="20"/>
                <w:highlight w:val="none"/>
              </w:rPr>
              <w:t>预算数）</w:t>
            </w:r>
            <w:r>
              <w:rPr>
                <w:rFonts w:ascii="Times New Roman" w:hAnsi="Times New Roman"/>
                <w:kern w:val="0"/>
                <w:sz w:val="20"/>
                <w:szCs w:val="20"/>
                <w:highlight w:val="none"/>
              </w:rPr>
              <w:t>×100%</w:t>
            </w:r>
            <w:r>
              <w:rPr>
                <w:rFonts w:ascii="Times New Roman"/>
                <w:kern w:val="0"/>
                <w:sz w:val="20"/>
                <w:szCs w:val="20"/>
                <w:highlight w:val="none"/>
              </w:rPr>
              <w:t>。（完成年初预算计</w:t>
            </w:r>
            <w:r>
              <w:rPr>
                <w:rFonts w:ascii="Times New Roman" w:hAnsi="Times New Roman"/>
                <w:kern w:val="0"/>
                <w:sz w:val="20"/>
                <w:szCs w:val="20"/>
                <w:highlight w:val="none"/>
              </w:rPr>
              <w:t>4</w:t>
            </w:r>
            <w:r>
              <w:rPr>
                <w:rFonts w:ascii="Times New Roman"/>
                <w:kern w:val="0"/>
                <w:sz w:val="20"/>
                <w:szCs w:val="20"/>
                <w:highlight w:val="none"/>
              </w:rPr>
              <w:t>分，未完成年初按比例扣减）</w:t>
            </w:r>
            <w:r>
              <w:rPr>
                <w:rFonts w:ascii="Times New Roman" w:hAnsi="Times New Roman"/>
                <w:kern w:val="0"/>
                <w:sz w:val="20"/>
                <w:szCs w:val="20"/>
                <w:highlight w:val="none"/>
              </w:rPr>
              <w:br w:type="textWrapping"/>
            </w:r>
            <w:r>
              <w:rPr>
                <w:rFonts w:ascii="Times New Roman"/>
                <w:kern w:val="0"/>
                <w:sz w:val="20"/>
                <w:szCs w:val="20"/>
                <w:highlight w:val="none"/>
              </w:rPr>
              <w:t>预算完成数：部门（单位）本年度实际完成的预算数。</w:t>
            </w:r>
            <w:r>
              <w:rPr>
                <w:rFonts w:ascii="Times New Roman" w:hAnsi="Times New Roman"/>
                <w:kern w:val="0"/>
                <w:sz w:val="20"/>
                <w:szCs w:val="20"/>
                <w:highlight w:val="none"/>
              </w:rPr>
              <w:br w:type="textWrapping"/>
            </w:r>
            <w:r>
              <w:rPr>
                <w:rFonts w:ascii="Times New Roman"/>
                <w:kern w:val="0"/>
                <w:sz w:val="20"/>
                <w:szCs w:val="20"/>
                <w:highlight w:val="none"/>
              </w:rPr>
              <w:t>预算数：财政部门批复的本年度部门（单位）预算数。</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4</w:t>
            </w:r>
          </w:p>
        </w:tc>
        <w:tc>
          <w:tcPr>
            <w:tcW w:w="2320"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default" w:ascii="宋体" w:hAnsi="宋体" w:eastAsia="宋体" w:cs="方正仿宋_GBK"/>
                <w:sz w:val="32"/>
                <w:szCs w:val="32"/>
                <w:lang w:val="en-US" w:eastAsia="zh-CN"/>
              </w:rPr>
            </w:pPr>
            <w:r>
              <w:rPr>
                <w:rFonts w:hint="eastAsia" w:ascii="宋体" w:hAnsi="宋体" w:eastAsia="宋体" w:cs="宋体"/>
                <w:kern w:val="0"/>
                <w:sz w:val="20"/>
                <w:szCs w:val="20"/>
              </w:rPr>
              <w:t>预算完成率</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3177</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3180</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49</w:t>
            </w:r>
            <w:r>
              <w:rPr>
                <w:rFonts w:hint="eastAsia" w:ascii="宋体" w:hAnsi="宋体" w:eastAsia="宋体" w:cs="宋体"/>
                <w:kern w:val="0"/>
                <w:sz w:val="20"/>
                <w:szCs w:val="20"/>
              </w:rPr>
              <w:t>）×100%</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99.9</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已报政府采购未支付2.89万元）属降低采购成本，实际采购任务已完成。不作扣分。</w:t>
            </w:r>
          </w:p>
          <w:p>
            <w:pPr>
              <w:widowControl/>
              <w:jc w:val="both"/>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3569"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预算调整率（</w:t>
            </w:r>
            <w:r>
              <w:rPr>
                <w:rFonts w:ascii="Times New Roman" w:hAnsi="Times New Roman"/>
                <w:kern w:val="0"/>
                <w:sz w:val="20"/>
                <w:szCs w:val="20"/>
                <w:highlight w:val="none"/>
              </w:rPr>
              <w:t>2</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部门（单位）本年度预算调整数与预算数的比率，用以反映和考核部门（单位）预算的调整程度。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预算调整率</w:t>
            </w:r>
            <w:r>
              <w:rPr>
                <w:rFonts w:ascii="Times New Roman" w:hAnsi="Times New Roman"/>
                <w:kern w:val="0"/>
                <w:sz w:val="20"/>
                <w:szCs w:val="20"/>
                <w:highlight w:val="none"/>
              </w:rPr>
              <w:t>=</w:t>
            </w:r>
            <w:r>
              <w:rPr>
                <w:rFonts w:ascii="Times New Roman"/>
                <w:kern w:val="0"/>
                <w:sz w:val="20"/>
                <w:szCs w:val="20"/>
                <w:highlight w:val="none"/>
              </w:rPr>
              <w:t>（预算调整数</w:t>
            </w:r>
            <w:r>
              <w:rPr>
                <w:rFonts w:ascii="Times New Roman" w:hAnsi="Times New Roman"/>
                <w:kern w:val="0"/>
                <w:sz w:val="20"/>
                <w:szCs w:val="20"/>
                <w:highlight w:val="none"/>
              </w:rPr>
              <w:t>/</w:t>
            </w:r>
            <w:r>
              <w:rPr>
                <w:rFonts w:ascii="Times New Roman"/>
                <w:kern w:val="0"/>
                <w:sz w:val="20"/>
                <w:szCs w:val="20"/>
                <w:highlight w:val="none"/>
              </w:rPr>
              <w:t>预算数）</w:t>
            </w:r>
            <w:r>
              <w:rPr>
                <w:rFonts w:ascii="Times New Roman" w:hAnsi="Times New Roman"/>
                <w:kern w:val="0"/>
                <w:sz w:val="20"/>
                <w:szCs w:val="20"/>
                <w:highlight w:val="none"/>
              </w:rPr>
              <w:t>×100%</w:t>
            </w:r>
            <w:r>
              <w:rPr>
                <w:rFonts w:ascii="Times New Roman"/>
                <w:kern w:val="0"/>
                <w:sz w:val="20"/>
                <w:szCs w:val="20"/>
                <w:highlight w:val="none"/>
              </w:rPr>
              <w:t>。（未调整的计</w:t>
            </w:r>
            <w:r>
              <w:rPr>
                <w:rFonts w:ascii="Times New Roman" w:hAnsi="Times New Roman"/>
                <w:kern w:val="0"/>
                <w:sz w:val="20"/>
                <w:szCs w:val="20"/>
                <w:highlight w:val="none"/>
              </w:rPr>
              <w:t>2</w:t>
            </w:r>
            <w:r>
              <w:rPr>
                <w:rFonts w:ascii="Times New Roman"/>
                <w:kern w:val="0"/>
                <w:sz w:val="20"/>
                <w:szCs w:val="20"/>
                <w:highlight w:val="none"/>
              </w:rPr>
              <w:t>分，调整了的除特殊原因外按比例扣减）</w:t>
            </w:r>
            <w:r>
              <w:rPr>
                <w:rFonts w:ascii="Times New Roman" w:hAnsi="Times New Roman"/>
                <w:kern w:val="0"/>
                <w:sz w:val="20"/>
                <w:szCs w:val="20"/>
                <w:highlight w:val="none"/>
              </w:rPr>
              <w:br w:type="textWrapping"/>
            </w:r>
            <w:r>
              <w:rPr>
                <w:rFonts w:ascii="Times New Roman"/>
                <w:kern w:val="0"/>
                <w:sz w:val="20"/>
                <w:szCs w:val="20"/>
                <w:highlight w:val="none"/>
              </w:rPr>
              <w:t>预算调整数：部门（单位）在本年度内涉及预算的追加、追减或结构调整的资金总和（因落实国家政策、发生不可抗力、上级部门或本级党委政府临时交办而产生的调整除外）。</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年因人员增加</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工资调标和绩效增加等</w:t>
            </w:r>
            <w:r>
              <w:rPr>
                <w:rFonts w:hint="eastAsia" w:ascii="宋体" w:hAnsi="宋体" w:eastAsia="宋体" w:cs="宋体"/>
                <w:kern w:val="0"/>
                <w:sz w:val="20"/>
                <w:szCs w:val="20"/>
              </w:rPr>
              <w:t>导致基本支出预算追加，</w:t>
            </w:r>
            <w:r>
              <w:rPr>
                <w:rFonts w:hint="eastAsia" w:ascii="宋体" w:hAnsi="宋体" w:eastAsia="宋体" w:cs="宋体"/>
                <w:kern w:val="0"/>
                <w:sz w:val="20"/>
                <w:szCs w:val="20"/>
                <w:lang w:val="en-US" w:eastAsia="zh-CN"/>
              </w:rPr>
              <w:t>存量资金和非税再安排，项目资金追加，</w:t>
            </w:r>
            <w:r>
              <w:rPr>
                <w:rFonts w:hint="eastAsia" w:ascii="宋体" w:hAnsi="宋体" w:eastAsia="宋体" w:cs="宋体"/>
                <w:kern w:val="0"/>
                <w:sz w:val="20"/>
                <w:szCs w:val="20"/>
              </w:rPr>
              <w:t>属于正常调整范围，不应扣减分数</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4046"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支付进度率（</w:t>
            </w:r>
            <w:r>
              <w:rPr>
                <w:rFonts w:ascii="Times New Roman" w:hAnsi="Times New Roman"/>
                <w:kern w:val="0"/>
                <w:sz w:val="20"/>
                <w:szCs w:val="20"/>
                <w:highlight w:val="none"/>
              </w:rPr>
              <w:t>2</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部门（单位）实际支付进度与既定支付进度的比率，用以反映和考核部门（单位）预算执行的及时性和均衡性程度。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支付进度率</w:t>
            </w:r>
            <w:r>
              <w:rPr>
                <w:rFonts w:ascii="Times New Roman" w:hAnsi="Times New Roman"/>
                <w:kern w:val="0"/>
                <w:sz w:val="20"/>
                <w:szCs w:val="20"/>
                <w:highlight w:val="none"/>
              </w:rPr>
              <w:t>=</w:t>
            </w:r>
            <w:r>
              <w:rPr>
                <w:rFonts w:ascii="Times New Roman"/>
                <w:kern w:val="0"/>
                <w:sz w:val="20"/>
                <w:szCs w:val="20"/>
                <w:highlight w:val="none"/>
              </w:rPr>
              <w:t>（实际支付进度</w:t>
            </w:r>
            <w:r>
              <w:rPr>
                <w:rFonts w:ascii="Times New Roman" w:hAnsi="Times New Roman"/>
                <w:kern w:val="0"/>
                <w:sz w:val="20"/>
                <w:szCs w:val="20"/>
                <w:highlight w:val="none"/>
              </w:rPr>
              <w:t>/</w:t>
            </w:r>
            <w:r>
              <w:rPr>
                <w:rFonts w:ascii="Times New Roman"/>
                <w:kern w:val="0"/>
                <w:sz w:val="20"/>
                <w:szCs w:val="20"/>
                <w:highlight w:val="none"/>
              </w:rPr>
              <w:t>既定支付进度）</w:t>
            </w:r>
            <w:r>
              <w:rPr>
                <w:rFonts w:ascii="Times New Roman" w:hAnsi="Times New Roman"/>
                <w:kern w:val="0"/>
                <w:sz w:val="20"/>
                <w:szCs w:val="20"/>
                <w:highlight w:val="none"/>
              </w:rPr>
              <w:t>×100%</w:t>
            </w:r>
            <w:r>
              <w:rPr>
                <w:rFonts w:ascii="Times New Roman"/>
                <w:kern w:val="0"/>
                <w:sz w:val="20"/>
                <w:szCs w:val="20"/>
                <w:highlight w:val="none"/>
              </w:rPr>
              <w:t>。完成年终进度的计</w:t>
            </w:r>
            <w:r>
              <w:rPr>
                <w:rFonts w:ascii="Times New Roman" w:hAnsi="Times New Roman"/>
                <w:kern w:val="0"/>
                <w:sz w:val="20"/>
                <w:szCs w:val="20"/>
                <w:highlight w:val="none"/>
              </w:rPr>
              <w:t>1</w:t>
            </w:r>
            <w:r>
              <w:rPr>
                <w:rFonts w:ascii="Times New Roman"/>
                <w:kern w:val="0"/>
                <w:sz w:val="20"/>
                <w:szCs w:val="20"/>
                <w:highlight w:val="none"/>
              </w:rPr>
              <w:t>分，按季度完成预算进度的计</w:t>
            </w:r>
            <w:r>
              <w:rPr>
                <w:rFonts w:ascii="Times New Roman" w:hAnsi="Times New Roman"/>
                <w:kern w:val="0"/>
                <w:sz w:val="20"/>
                <w:szCs w:val="20"/>
                <w:highlight w:val="none"/>
              </w:rPr>
              <w:t>1</w:t>
            </w:r>
            <w:r>
              <w:rPr>
                <w:rFonts w:ascii="Times New Roman"/>
                <w:kern w:val="0"/>
                <w:sz w:val="20"/>
                <w:szCs w:val="20"/>
                <w:highlight w:val="none"/>
              </w:rPr>
              <w:t>分。</w:t>
            </w:r>
            <w:r>
              <w:rPr>
                <w:rFonts w:ascii="Times New Roman" w:hAnsi="Times New Roman"/>
                <w:kern w:val="0"/>
                <w:sz w:val="20"/>
                <w:szCs w:val="20"/>
                <w:highlight w:val="none"/>
              </w:rPr>
              <w:br w:type="textWrapping"/>
            </w:r>
            <w:r>
              <w:rPr>
                <w:rFonts w:ascii="Times New Roman"/>
                <w:kern w:val="0"/>
                <w:sz w:val="20"/>
                <w:szCs w:val="20"/>
                <w:highlight w:val="none"/>
              </w:rPr>
              <w:t>实际支付进度：部门（单位）在某一时点的支出预算执行总数与年度支出预算数的比率。</w:t>
            </w:r>
            <w:r>
              <w:rPr>
                <w:rFonts w:ascii="Times New Roman" w:hAnsi="Times New Roman"/>
                <w:kern w:val="0"/>
                <w:sz w:val="20"/>
                <w:szCs w:val="20"/>
                <w:highlight w:val="none"/>
              </w:rPr>
              <w:br w:type="textWrapping"/>
            </w:r>
            <w:r>
              <w:rPr>
                <w:rFonts w:ascii="Times New Roman"/>
                <w:kern w:val="0"/>
                <w:sz w:val="20"/>
                <w:szCs w:val="20"/>
                <w:highlight w:val="none"/>
              </w:rPr>
              <w:t>既定支付进度：由部门（单位）在申报部门整体绩效目标时，参照序时支付进度、前三年支付进度、同级部门平均支付进度水平等确定的，在某一时点应达到的支付进度（比率）。</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严格按照资金支付时限，及时拨付资金，季度、年度实际支付进度均与既定支付进度相一致，支付进度率100%</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2184"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结转结余率（</w:t>
            </w:r>
            <w:r>
              <w:rPr>
                <w:rFonts w:ascii="Times New Roman" w:hAnsi="Times New Roman"/>
                <w:kern w:val="0"/>
                <w:sz w:val="20"/>
                <w:szCs w:val="20"/>
                <w:highlight w:val="none"/>
              </w:rPr>
              <w:t>2</w:t>
            </w:r>
            <w:r>
              <w:rPr>
                <w:rFonts w:ascii="Times New Roman"/>
                <w:kern w:val="0"/>
                <w:sz w:val="20"/>
                <w:szCs w:val="20"/>
                <w:highlight w:val="none"/>
              </w:rPr>
              <w:t>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部门（单位）本年度结转结余总额与支出预算数的比率，用以反映和考核部门（单位）对本年度结转结余资金的实际控制程度。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kern w:val="0"/>
                <w:sz w:val="20"/>
                <w:szCs w:val="20"/>
                <w:highlight w:val="none"/>
              </w:rPr>
              <w:t>结转结余率</w:t>
            </w:r>
            <w:r>
              <w:rPr>
                <w:rFonts w:ascii="Times New Roman" w:hAnsi="Times New Roman"/>
                <w:kern w:val="0"/>
                <w:sz w:val="20"/>
                <w:szCs w:val="20"/>
                <w:highlight w:val="none"/>
              </w:rPr>
              <w:t>=</w:t>
            </w:r>
            <w:r>
              <w:rPr>
                <w:rFonts w:ascii="Times New Roman"/>
                <w:kern w:val="0"/>
                <w:sz w:val="20"/>
                <w:szCs w:val="20"/>
                <w:highlight w:val="none"/>
              </w:rPr>
              <w:t>结转结余总额</w:t>
            </w:r>
            <w:r>
              <w:rPr>
                <w:rFonts w:ascii="Times New Roman" w:hAnsi="Times New Roman"/>
                <w:kern w:val="0"/>
                <w:sz w:val="20"/>
                <w:szCs w:val="20"/>
                <w:highlight w:val="none"/>
              </w:rPr>
              <w:t>/</w:t>
            </w:r>
            <w:r>
              <w:rPr>
                <w:rFonts w:ascii="Times New Roman"/>
                <w:kern w:val="0"/>
                <w:sz w:val="20"/>
                <w:szCs w:val="20"/>
                <w:highlight w:val="none"/>
              </w:rPr>
              <w:t>支出预算数</w:t>
            </w:r>
            <w:r>
              <w:rPr>
                <w:rFonts w:ascii="Times New Roman" w:hAnsi="Times New Roman"/>
                <w:kern w:val="0"/>
                <w:sz w:val="20"/>
                <w:szCs w:val="20"/>
                <w:highlight w:val="none"/>
              </w:rPr>
              <w:t>×100%</w:t>
            </w:r>
            <w:r>
              <w:rPr>
                <w:rFonts w:ascii="Times New Roman"/>
                <w:kern w:val="0"/>
                <w:sz w:val="20"/>
                <w:szCs w:val="20"/>
                <w:highlight w:val="none"/>
              </w:rPr>
              <w:t>。低于</w:t>
            </w:r>
            <w:r>
              <w:rPr>
                <w:rFonts w:ascii="Times New Roman" w:hAnsi="Times New Roman"/>
                <w:kern w:val="0"/>
                <w:sz w:val="20"/>
                <w:szCs w:val="20"/>
                <w:highlight w:val="none"/>
              </w:rPr>
              <w:t>5%</w:t>
            </w:r>
            <w:r>
              <w:rPr>
                <w:rFonts w:ascii="Times New Roman"/>
                <w:kern w:val="0"/>
                <w:sz w:val="20"/>
                <w:szCs w:val="20"/>
                <w:highlight w:val="none"/>
              </w:rPr>
              <w:t>的计</w:t>
            </w:r>
            <w:r>
              <w:rPr>
                <w:rFonts w:ascii="Times New Roman" w:hAnsi="Times New Roman"/>
                <w:kern w:val="0"/>
                <w:sz w:val="20"/>
                <w:szCs w:val="20"/>
                <w:highlight w:val="none"/>
              </w:rPr>
              <w:t>1</w:t>
            </w:r>
            <w:r>
              <w:rPr>
                <w:rFonts w:ascii="Times New Roman"/>
                <w:kern w:val="0"/>
                <w:sz w:val="20"/>
                <w:szCs w:val="20"/>
                <w:highlight w:val="none"/>
              </w:rPr>
              <w:t>分，每超过</w:t>
            </w:r>
            <w:r>
              <w:rPr>
                <w:rFonts w:ascii="Times New Roman" w:hAnsi="Times New Roman"/>
                <w:kern w:val="0"/>
                <w:sz w:val="20"/>
                <w:szCs w:val="20"/>
                <w:highlight w:val="none"/>
              </w:rPr>
              <w:t>5</w:t>
            </w:r>
            <w:r>
              <w:rPr>
                <w:rFonts w:ascii="Times New Roman"/>
                <w:kern w:val="0"/>
                <w:sz w:val="20"/>
                <w:szCs w:val="20"/>
                <w:highlight w:val="none"/>
              </w:rPr>
              <w:t>个百分点扣</w:t>
            </w:r>
            <w:r>
              <w:rPr>
                <w:rFonts w:ascii="Times New Roman" w:hAnsi="Times New Roman"/>
                <w:kern w:val="0"/>
                <w:sz w:val="20"/>
                <w:szCs w:val="20"/>
                <w:highlight w:val="none"/>
              </w:rPr>
              <w:t>1</w:t>
            </w:r>
            <w:r>
              <w:rPr>
                <w:rFonts w:ascii="Times New Roman"/>
                <w:kern w:val="0"/>
                <w:sz w:val="20"/>
                <w:szCs w:val="20"/>
                <w:highlight w:val="none"/>
              </w:rPr>
              <w:t>分，扣完为止。</w:t>
            </w:r>
            <w:r>
              <w:rPr>
                <w:rFonts w:ascii="Times New Roman" w:hAnsi="Times New Roman"/>
                <w:kern w:val="0"/>
                <w:sz w:val="20"/>
                <w:szCs w:val="20"/>
                <w:highlight w:val="none"/>
              </w:rPr>
              <w:br w:type="textWrapping"/>
            </w:r>
            <w:r>
              <w:rPr>
                <w:rFonts w:ascii="Times New Roman" w:hAnsi="Times New Roman"/>
                <w:kern w:val="0"/>
                <w:sz w:val="20"/>
                <w:szCs w:val="20"/>
                <w:highlight w:val="none"/>
              </w:rPr>
              <w:t>结转结余总额：部门（单位）本年度的结转资金与结余资金之和（以决算数为准）。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=结转结余总额/支出预算数×100%</w:t>
            </w:r>
            <w:r>
              <w:rPr>
                <w:rFonts w:hint="eastAsia" w:ascii="宋体" w:hAnsi="宋体" w:eastAsia="宋体" w:cs="宋体"/>
                <w:kern w:val="0"/>
                <w:sz w:val="20"/>
                <w:szCs w:val="20"/>
                <w:lang w:val="en-US" w:eastAsia="zh-CN"/>
              </w:rPr>
              <w:t>，2023年无</w:t>
            </w:r>
            <w:r>
              <w:rPr>
                <w:rFonts w:hint="eastAsia" w:ascii="宋体" w:hAnsi="宋体" w:eastAsia="宋体" w:cs="宋体"/>
                <w:kern w:val="0"/>
                <w:sz w:val="20"/>
                <w:szCs w:val="20"/>
              </w:rPr>
              <w:t>结转结余</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2184"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结转结余变动率（2分）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部门（单位）本年度结转结余资金总额与上年度结转结余资金总额的变动比率，用以反映和考核部门（单位）对控制结转结余资金的努力程度。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结转结余变动率=[（本年度累计结转结余资金总额-上年度累计结转结余资金总额）/上年度累计结转结余资金总额]×100%。（低于15%的计2分，每超过5个百分点扣1分，扣完为止）</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2023年无</w:t>
            </w:r>
            <w:r>
              <w:rPr>
                <w:rFonts w:hint="eastAsia" w:ascii="宋体" w:hAnsi="宋体" w:eastAsia="宋体" w:cs="宋体"/>
                <w:kern w:val="0"/>
                <w:sz w:val="20"/>
                <w:szCs w:val="20"/>
              </w:rPr>
              <w:t>结转结余</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与上年无变动。</w:t>
            </w:r>
          </w:p>
        </w:tc>
      </w:tr>
      <w:tr>
        <w:tblPrEx>
          <w:tblCellMar>
            <w:top w:w="0" w:type="dxa"/>
            <w:left w:w="108" w:type="dxa"/>
            <w:bottom w:w="0" w:type="dxa"/>
            <w:right w:w="108" w:type="dxa"/>
          </w:tblCellMar>
        </w:tblPrEx>
        <w:trPr>
          <w:trHeight w:val="2184"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公用经费控制率（2分）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部门（单位）本年度实际支出的公用经费总额与预算安排的公用经费总额的比率，用以反映和考核部门（单位）对机构运转成本的实际控制程度。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公用经费控制率=（实际支出公用经费总额/预算安排公用经费总额）×100%。（为100%的计2分，每超过1个百分点扣0.1分，扣完为止）</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年实际支出公用经费总额为</w:t>
            </w:r>
            <w:r>
              <w:rPr>
                <w:rFonts w:hint="eastAsia" w:ascii="宋体" w:hAnsi="宋体" w:eastAsia="宋体" w:cs="宋体"/>
                <w:kern w:val="0"/>
                <w:sz w:val="20"/>
                <w:szCs w:val="20"/>
                <w:lang w:val="en-US" w:eastAsia="zh-CN"/>
              </w:rPr>
              <w:t>448</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23</w:t>
            </w:r>
            <w:r>
              <w:rPr>
                <w:rFonts w:hint="eastAsia" w:ascii="宋体" w:hAnsi="宋体" w:eastAsia="宋体" w:cs="宋体"/>
                <w:kern w:val="0"/>
                <w:sz w:val="20"/>
                <w:szCs w:val="20"/>
              </w:rPr>
              <w:t>万元，预算安排公用经费总额为</w:t>
            </w:r>
            <w:r>
              <w:rPr>
                <w:rFonts w:hint="eastAsia" w:ascii="宋体" w:hAnsi="宋体" w:eastAsia="宋体" w:cs="宋体"/>
                <w:kern w:val="0"/>
                <w:sz w:val="20"/>
                <w:szCs w:val="20"/>
                <w:lang w:val="en-US" w:eastAsia="zh-CN"/>
              </w:rPr>
              <w:t>467</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91</w:t>
            </w:r>
            <w:r>
              <w:rPr>
                <w:rFonts w:hint="eastAsia" w:ascii="宋体" w:hAnsi="宋体" w:eastAsia="宋体" w:cs="宋体"/>
                <w:kern w:val="0"/>
                <w:sz w:val="20"/>
                <w:szCs w:val="20"/>
              </w:rPr>
              <w:t>万元，公用经费控制率</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100</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448</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23</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467</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91</w:t>
            </w:r>
            <w:r>
              <w:rPr>
                <w:rFonts w:hint="eastAsia" w:ascii="宋体" w:hAnsi="宋体" w:eastAsia="宋体" w:cs="宋体"/>
                <w:kern w:val="0"/>
                <w:sz w:val="20"/>
                <w:szCs w:val="20"/>
              </w:rPr>
              <w:t>）×100%</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95.8</w:t>
            </w: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1873"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“三公经费”控制率（2分）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部门（单位）本年度“三公经费”实际支出数与预算安排数的比率，用以反映和考核部门（单位）对“三公经费”的实际控制程度。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“三公经费”控制率=（“三公经费”实际支出数/“三公经费”预算安排数）×100%。（为100%的计2分，每超过1个百分点扣0.5分，扣完为止）</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pStyle w:val="6"/>
              <w:jc w:val="both"/>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厉行节约、反对浪费，严格控制“三公经费”，年初预算数47.72万元，实际支出数37.62万元，“三公经费”控制率（=37.62/47.72</w:t>
            </w:r>
            <w:r>
              <w:rPr>
                <w:rFonts w:hint="eastAsia" w:ascii="宋体" w:hAnsi="宋体" w:eastAsia="宋体" w:cs="宋体"/>
                <w:kern w:val="0"/>
                <w:sz w:val="20"/>
                <w:szCs w:val="20"/>
              </w:rPr>
              <w:t>×100%</w:t>
            </w:r>
            <w:r>
              <w:rPr>
                <w:rFonts w:hint="eastAsia" w:ascii="宋体" w:hAnsi="宋体" w:eastAsia="宋体" w:cs="宋体"/>
                <w:kern w:val="0"/>
                <w:sz w:val="20"/>
                <w:szCs w:val="20"/>
                <w:lang w:val="en-US" w:eastAsia="zh-CN"/>
              </w:rPr>
              <w:t>=</w:t>
            </w:r>
            <w:r>
              <w:rPr>
                <w:rFonts w:hint="eastAsia" w:ascii="宋体" w:hAnsi="宋体" w:eastAsia="宋体" w:cs="宋体"/>
                <w:sz w:val="20"/>
                <w:szCs w:val="20"/>
                <w:lang w:val="en-US" w:eastAsia="zh-CN"/>
              </w:rPr>
              <w:t>85.34%）。</w:t>
            </w:r>
          </w:p>
        </w:tc>
      </w:tr>
      <w:tr>
        <w:tblPrEx>
          <w:tblCellMar>
            <w:top w:w="0" w:type="dxa"/>
            <w:left w:w="108" w:type="dxa"/>
            <w:bottom w:w="0" w:type="dxa"/>
            <w:right w:w="108" w:type="dxa"/>
          </w:tblCellMar>
        </w:tblPrEx>
        <w:trPr>
          <w:trHeight w:val="2804"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政府采购执行率（4分）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部门（单位）本年度实际政府采购金额与年初政府采购预算的比率，用以反映和考核部门（单位）政府采购预算执行情况。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政府采购执行率=（实际政府采购金额/政府采购预算数）×100%。（为100%的计2分，每低于1个百分点扣0.5分，扣完为止）</w:t>
            </w:r>
            <w:r>
              <w:rPr>
                <w:rFonts w:ascii="Times New Roman" w:hAnsi="Times New Roman"/>
                <w:kern w:val="0"/>
                <w:sz w:val="20"/>
                <w:szCs w:val="20"/>
                <w:highlight w:val="none"/>
              </w:rPr>
              <w:br w:type="textWrapping"/>
            </w:r>
            <w:r>
              <w:rPr>
                <w:rFonts w:ascii="Times New Roman" w:hAnsi="Times New Roman"/>
                <w:kern w:val="0"/>
                <w:sz w:val="20"/>
                <w:szCs w:val="20"/>
                <w:highlight w:val="none"/>
              </w:rPr>
              <w:t xml:space="preserve">政府采购预算：采购机关根据事业发展计划和行政任务编制的、并经过规定程序批准的年度政府采购计划。 </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政府采购预算</w:t>
            </w:r>
            <w:r>
              <w:rPr>
                <w:rFonts w:hint="eastAsia" w:ascii="宋体" w:hAnsi="宋体" w:eastAsia="宋体" w:cs="宋体"/>
                <w:kern w:val="0"/>
                <w:sz w:val="20"/>
                <w:szCs w:val="20"/>
                <w:lang w:val="en-US" w:eastAsia="zh-CN"/>
              </w:rPr>
              <w:t>17</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38</w:t>
            </w:r>
            <w:r>
              <w:rPr>
                <w:rFonts w:hint="eastAsia" w:ascii="宋体" w:hAnsi="宋体" w:eastAsia="宋体" w:cs="宋体"/>
                <w:kern w:val="0"/>
                <w:sz w:val="20"/>
                <w:szCs w:val="20"/>
              </w:rPr>
              <w:t>万元，实际采购金额</w:t>
            </w:r>
            <w:r>
              <w:rPr>
                <w:rFonts w:hint="eastAsia" w:ascii="宋体" w:hAnsi="宋体" w:eastAsia="宋体" w:cs="宋体"/>
                <w:kern w:val="0"/>
                <w:sz w:val="20"/>
                <w:szCs w:val="20"/>
                <w:lang w:val="en-US" w:eastAsia="zh-CN"/>
              </w:rPr>
              <w:t>14</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万元，政府采购执行率</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14</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17</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38</w:t>
            </w:r>
            <w:r>
              <w:rPr>
                <w:rFonts w:hint="eastAsia" w:ascii="宋体" w:hAnsi="宋体" w:eastAsia="宋体" w:cs="宋体"/>
                <w:kern w:val="0"/>
                <w:sz w:val="20"/>
                <w:szCs w:val="20"/>
              </w:rPr>
              <w:t>）×100%</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83.43</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为了厉行节约实际采购成本比年初预算成本低，采购项目全部完成预算，因此</w:t>
            </w:r>
            <w:r>
              <w:rPr>
                <w:rFonts w:hint="eastAsia" w:ascii="宋体" w:hAnsi="宋体" w:eastAsia="宋体" w:cs="宋体"/>
                <w:kern w:val="0"/>
                <w:sz w:val="20"/>
                <w:szCs w:val="20"/>
              </w:rPr>
              <w:t>不应扣减分数。</w:t>
            </w:r>
          </w:p>
          <w:p>
            <w:pPr>
              <w:widowControl/>
              <w:jc w:val="both"/>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2494"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r>
              <w:rPr>
                <w:rFonts w:ascii="Times New Roman" w:hAnsi="Times New Roman"/>
                <w:spacing w:val="-20"/>
                <w:kern w:val="0"/>
                <w:sz w:val="20"/>
                <w:szCs w:val="20"/>
                <w:highlight w:val="none"/>
              </w:rPr>
              <w:t>预算管理（5分）</w:t>
            </w: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管理制度健全性（2分）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部门（单位）为加强预算管理、规范财务行为而制定的管理制度是否健全完整，用以反映和考核部门（单位）预算管理制度对完成主要职责或促进事业发展的保障情况。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cs="宋体"/>
                <w:kern w:val="0"/>
                <w:sz w:val="20"/>
                <w:szCs w:val="20"/>
                <w:highlight w:val="none"/>
              </w:rPr>
              <w:t>①</w:t>
            </w:r>
            <w:r>
              <w:rPr>
                <w:rFonts w:ascii="Times New Roman" w:hAnsi="Times New Roman"/>
                <w:kern w:val="0"/>
                <w:sz w:val="20"/>
                <w:szCs w:val="20"/>
                <w:highlight w:val="none"/>
              </w:rPr>
              <w:t>是否已制定或具有预算资金管理办法、内部财务管理制度、会计核算制度等管理制度；（1分）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②</w:t>
            </w:r>
            <w:r>
              <w:rPr>
                <w:rFonts w:ascii="Times New Roman" w:hAnsi="Times New Roman"/>
                <w:kern w:val="0"/>
                <w:sz w:val="20"/>
                <w:szCs w:val="20"/>
                <w:highlight w:val="none"/>
              </w:rPr>
              <w:t>相关管理制度是否合法、合规、完整；（0.5分）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③</w:t>
            </w:r>
            <w:r>
              <w:rPr>
                <w:rFonts w:ascii="Times New Roman" w:hAnsi="Times New Roman"/>
                <w:kern w:val="0"/>
                <w:sz w:val="20"/>
                <w:szCs w:val="20"/>
                <w:highlight w:val="none"/>
              </w:rPr>
              <w:t>相关管理制度是否得到有效执行。（0.5分）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已制定预算资金管理办法、内部财务管理制度、会计核算制度等管理制度；相关管理制度合法、合规、完整，并得到有效执行</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3425"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资金使用合规性（1分）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部门（单位）使用预算资金是否符合相关的预算财务管理制度的规定，用以反映和考核部门（单位）预算资金的规范运行情况。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cs="宋体"/>
                <w:kern w:val="0"/>
                <w:sz w:val="20"/>
                <w:szCs w:val="20"/>
                <w:highlight w:val="none"/>
              </w:rPr>
              <w:t>①</w:t>
            </w:r>
            <w:r>
              <w:rPr>
                <w:rFonts w:ascii="Times New Roman" w:hAnsi="Times New Roman"/>
                <w:kern w:val="0"/>
                <w:sz w:val="20"/>
                <w:szCs w:val="20"/>
                <w:highlight w:val="none"/>
              </w:rPr>
              <w:t>是否符合国家财经法规和财务管理制度规定以及有关专项资金管理办法的规定；（0.2分）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②</w:t>
            </w:r>
            <w:r>
              <w:rPr>
                <w:rFonts w:ascii="Times New Roman" w:hAnsi="Times New Roman"/>
                <w:kern w:val="0"/>
                <w:sz w:val="20"/>
                <w:szCs w:val="20"/>
                <w:highlight w:val="none"/>
              </w:rPr>
              <w:t>资金的拨付是否有完整的审批程序和手续；（0.2分）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③</w:t>
            </w:r>
            <w:r>
              <w:rPr>
                <w:rFonts w:ascii="Times New Roman" w:hAnsi="Times New Roman"/>
                <w:kern w:val="0"/>
                <w:sz w:val="20"/>
                <w:szCs w:val="20"/>
                <w:highlight w:val="none"/>
              </w:rPr>
              <w:t>项目的重大开支是否经过评估论证；（0.2分）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④</w:t>
            </w:r>
            <w:r>
              <w:rPr>
                <w:rFonts w:ascii="Times New Roman" w:hAnsi="Times New Roman"/>
                <w:kern w:val="0"/>
                <w:sz w:val="20"/>
                <w:szCs w:val="20"/>
                <w:highlight w:val="none"/>
              </w:rPr>
              <w:t>是否符合部门预算批复的用途；（0.2分）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⑤</w:t>
            </w:r>
            <w:r>
              <w:rPr>
                <w:rFonts w:ascii="Times New Roman" w:hAnsi="Times New Roman"/>
                <w:kern w:val="0"/>
                <w:sz w:val="20"/>
                <w:szCs w:val="20"/>
                <w:highlight w:val="none"/>
              </w:rPr>
              <w:t>是否存在截留、挤占、挪用、虚列支出等情况。（0.2分）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资金使用符合有关规定；拨付具有完整的审批程序和手续；项目的重大开支均经过评估论证；符合部门预算批复的用途；不存在截留、挤占、挪用、虚列支出等情况</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2184"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预决算信息公开性（1分）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部门（单位）是否按照政府信息公开有关规定公开相关预决算信息，用以反映和考核部门（单位）预决算管理的公开透明情况。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cs="宋体"/>
                <w:kern w:val="0"/>
                <w:sz w:val="20"/>
                <w:szCs w:val="20"/>
                <w:highlight w:val="none"/>
              </w:rPr>
              <w:t>①</w:t>
            </w:r>
            <w:r>
              <w:rPr>
                <w:rFonts w:ascii="Times New Roman" w:hAnsi="Times New Roman"/>
                <w:kern w:val="0"/>
                <w:sz w:val="20"/>
                <w:szCs w:val="20"/>
                <w:highlight w:val="none"/>
              </w:rPr>
              <w:t>是否按规定内容公开预决算信息；（0.5分）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②</w:t>
            </w:r>
            <w:r>
              <w:rPr>
                <w:rFonts w:ascii="Times New Roman" w:hAnsi="Times New Roman"/>
                <w:kern w:val="0"/>
                <w:sz w:val="20"/>
                <w:szCs w:val="20"/>
                <w:highlight w:val="none"/>
              </w:rPr>
              <w:t>是否按规定时限公开预决算信息。（0.5分）</w:t>
            </w:r>
            <w:r>
              <w:rPr>
                <w:rFonts w:ascii="Times New Roman" w:hAnsi="Times New Roman"/>
                <w:kern w:val="0"/>
                <w:sz w:val="20"/>
                <w:szCs w:val="20"/>
                <w:highlight w:val="none"/>
              </w:rPr>
              <w:br w:type="textWrapping"/>
            </w:r>
            <w:r>
              <w:rPr>
                <w:rFonts w:ascii="Times New Roman" w:hAnsi="Times New Roman"/>
                <w:kern w:val="0"/>
                <w:sz w:val="20"/>
                <w:szCs w:val="20"/>
                <w:highlight w:val="none"/>
              </w:rPr>
              <w:t>预决算信息是指与部门预算、执行、决算、监督、绩效等管理相关的信息。</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及时将预决算公开信息在安岳纪检监察官网上公开</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1974"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基础信息完善性（1分）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部门（单位）基础信息是否完善，用以反映和考核基础信息对预算管理工作的支撑情况。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cs="宋体"/>
                <w:kern w:val="0"/>
                <w:sz w:val="20"/>
                <w:szCs w:val="20"/>
                <w:highlight w:val="none"/>
              </w:rPr>
              <w:t>①</w:t>
            </w:r>
            <w:r>
              <w:rPr>
                <w:rFonts w:ascii="Times New Roman" w:hAnsi="Times New Roman"/>
                <w:kern w:val="0"/>
                <w:sz w:val="20"/>
                <w:szCs w:val="20"/>
                <w:highlight w:val="none"/>
              </w:rPr>
              <w:t>基础数据信息和会计信息资料是否真实；（0.4分）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②</w:t>
            </w:r>
            <w:r>
              <w:rPr>
                <w:rFonts w:ascii="Times New Roman" w:hAnsi="Times New Roman"/>
                <w:kern w:val="0"/>
                <w:sz w:val="20"/>
                <w:szCs w:val="20"/>
                <w:highlight w:val="none"/>
              </w:rPr>
              <w:t>基础数据信息和会计信息资料是否完整；（0.3分）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③</w:t>
            </w:r>
            <w:r>
              <w:rPr>
                <w:rFonts w:ascii="Times New Roman" w:hAnsi="Times New Roman"/>
                <w:kern w:val="0"/>
                <w:sz w:val="20"/>
                <w:szCs w:val="20"/>
                <w:highlight w:val="none"/>
              </w:rPr>
              <w:t>基础数据信息和会计信息资料是否准确。（0.3分）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基础数据信息和会计信息资料真实、完整、准确</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2494"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r>
              <w:rPr>
                <w:rFonts w:ascii="Times New Roman" w:hAnsi="Times New Roman"/>
                <w:spacing w:val="-20"/>
                <w:kern w:val="0"/>
                <w:sz w:val="20"/>
                <w:szCs w:val="20"/>
                <w:highlight w:val="none"/>
              </w:rPr>
              <w:t>资产管理（5分）</w:t>
            </w: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管理制度健全性（2分）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部门（单位）为加强资产管理、规范资产管理行为而制定的管理制度是否健全完整，用以反映和考核部门（单位）资产管理制度对完成主要职责或促进社会发展的保障情况。</w:t>
            </w:r>
          </w:p>
        </w:tc>
        <w:tc>
          <w:tcPr>
            <w:tcW w:w="2800" w:type="dxa"/>
            <w:tcBorders>
              <w:top w:val="nil"/>
              <w:left w:val="nil"/>
              <w:bottom w:val="single" w:color="auto" w:sz="4" w:space="0"/>
              <w:right w:val="single" w:color="auto" w:sz="4" w:space="0"/>
            </w:tcBorders>
            <w:noWrap w:val="0"/>
            <w:vAlign w:val="center"/>
          </w:tcPr>
          <w:p>
            <w:pPr>
              <w:widowControl/>
              <w:rPr>
                <w:rFonts w:ascii="Times New Roman" w:hAnsi="Times New Roman"/>
                <w:kern w:val="0"/>
                <w:sz w:val="20"/>
                <w:szCs w:val="20"/>
                <w:highlight w:val="none"/>
              </w:rPr>
            </w:pPr>
            <w:r>
              <w:rPr>
                <w:rFonts w:hint="eastAsia" w:ascii="Times New Roman" w:hAnsi="Times New Roman" w:cs="宋体"/>
                <w:kern w:val="0"/>
                <w:sz w:val="20"/>
                <w:szCs w:val="20"/>
                <w:highlight w:val="none"/>
              </w:rPr>
              <w:t>①</w:t>
            </w:r>
            <w:r>
              <w:rPr>
                <w:rFonts w:ascii="Times New Roman" w:hAnsi="Times New Roman"/>
                <w:kern w:val="0"/>
                <w:sz w:val="20"/>
                <w:szCs w:val="20"/>
                <w:highlight w:val="none"/>
              </w:rPr>
              <w:t>是否已制定或具有资产管理制度；（1分）</w:t>
            </w:r>
          </w:p>
          <w:p>
            <w:pPr>
              <w:widowControl/>
              <w:rPr>
                <w:rFonts w:ascii="Times New Roman" w:hAnsi="Times New Roman"/>
                <w:kern w:val="0"/>
                <w:sz w:val="20"/>
                <w:szCs w:val="20"/>
                <w:highlight w:val="none"/>
              </w:rPr>
            </w:pPr>
            <w:r>
              <w:rPr>
                <w:rFonts w:hint="eastAsia" w:ascii="Times New Roman" w:hAnsi="Times New Roman" w:cs="宋体"/>
                <w:kern w:val="0"/>
                <w:sz w:val="20"/>
                <w:szCs w:val="20"/>
                <w:highlight w:val="none"/>
              </w:rPr>
              <w:t>②</w:t>
            </w:r>
            <w:r>
              <w:rPr>
                <w:rFonts w:ascii="Times New Roman" w:hAnsi="Times New Roman"/>
                <w:kern w:val="0"/>
                <w:sz w:val="20"/>
                <w:szCs w:val="20"/>
                <w:highlight w:val="none"/>
              </w:rPr>
              <w:t>相关资金管理制度是否合法、合规、完整；（0.5分）</w:t>
            </w:r>
          </w:p>
          <w:p>
            <w:pPr>
              <w:widowControl/>
              <w:rPr>
                <w:rFonts w:ascii="Times New Roman" w:hAnsi="Times New Roman"/>
                <w:kern w:val="0"/>
                <w:sz w:val="20"/>
                <w:szCs w:val="20"/>
                <w:highlight w:val="none"/>
              </w:rPr>
            </w:pPr>
            <w:r>
              <w:rPr>
                <w:rFonts w:hint="eastAsia" w:ascii="Times New Roman" w:hAnsi="Times New Roman" w:cs="宋体"/>
                <w:kern w:val="0"/>
                <w:sz w:val="20"/>
                <w:szCs w:val="20"/>
                <w:highlight w:val="none"/>
              </w:rPr>
              <w:t>③</w:t>
            </w:r>
            <w:r>
              <w:rPr>
                <w:rFonts w:ascii="Times New Roman" w:hAnsi="Times New Roman"/>
                <w:kern w:val="0"/>
                <w:sz w:val="20"/>
                <w:szCs w:val="20"/>
                <w:highlight w:val="none"/>
              </w:rPr>
              <w:t>相关资产管理制度是否得到有效执行。（0.5分）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已制定资产管理制度和资金管理制度，相关制度合法、合规、完整，并得到有效执行</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2186"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资产管理安全性（2分）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部门（单位）的资产是否保存完整、使用合规、配置合理、处置规范、收入及时足额上缴，用以反映和考核部门（单位）资产安全运行情况。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cs="宋体"/>
                <w:kern w:val="0"/>
                <w:sz w:val="20"/>
                <w:szCs w:val="20"/>
                <w:highlight w:val="none"/>
              </w:rPr>
              <w:t>①</w:t>
            </w:r>
            <w:r>
              <w:rPr>
                <w:rFonts w:ascii="Times New Roman" w:hAnsi="Times New Roman"/>
                <w:kern w:val="0"/>
                <w:sz w:val="20"/>
                <w:szCs w:val="20"/>
                <w:highlight w:val="none"/>
              </w:rPr>
              <w:t>资产保存是否完整；（0.4分）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②</w:t>
            </w:r>
            <w:r>
              <w:rPr>
                <w:rFonts w:ascii="Times New Roman" w:hAnsi="Times New Roman"/>
                <w:kern w:val="0"/>
                <w:sz w:val="20"/>
                <w:szCs w:val="20"/>
                <w:highlight w:val="none"/>
              </w:rPr>
              <w:t>资产配置是否合理；（0.4分）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③</w:t>
            </w:r>
            <w:r>
              <w:rPr>
                <w:rFonts w:ascii="Times New Roman" w:hAnsi="Times New Roman"/>
                <w:kern w:val="0"/>
                <w:sz w:val="20"/>
                <w:szCs w:val="20"/>
                <w:highlight w:val="none"/>
              </w:rPr>
              <w:t>资产处置是否规范；（0.4分）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④</w:t>
            </w:r>
            <w:r>
              <w:rPr>
                <w:rFonts w:ascii="Times New Roman" w:hAnsi="Times New Roman"/>
                <w:kern w:val="0"/>
                <w:sz w:val="20"/>
                <w:szCs w:val="20"/>
                <w:highlight w:val="none"/>
              </w:rPr>
              <w:t>资产账务管理是否合规，是否帐实相符；（0.4分）</w:t>
            </w:r>
            <w:r>
              <w:rPr>
                <w:rFonts w:ascii="Times New Roman" w:hAnsi="Times New Roman"/>
                <w:kern w:val="0"/>
                <w:sz w:val="20"/>
                <w:szCs w:val="20"/>
                <w:highlight w:val="none"/>
              </w:rPr>
              <w:br w:type="textWrapping"/>
            </w:r>
            <w:r>
              <w:rPr>
                <w:rFonts w:hint="eastAsia" w:ascii="Times New Roman" w:hAnsi="Times New Roman" w:cs="宋体"/>
                <w:kern w:val="0"/>
                <w:sz w:val="20"/>
                <w:szCs w:val="20"/>
                <w:highlight w:val="none"/>
              </w:rPr>
              <w:t>⑤</w:t>
            </w:r>
            <w:r>
              <w:rPr>
                <w:rFonts w:ascii="Times New Roman" w:hAnsi="Times New Roman"/>
                <w:kern w:val="0"/>
                <w:sz w:val="20"/>
                <w:szCs w:val="20"/>
                <w:highlight w:val="none"/>
              </w:rPr>
              <w:t>资产是否有偿使用及处置收入及时足额上缴。（0.4分）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w:t>
            </w:r>
          </w:p>
        </w:tc>
        <w:tc>
          <w:tcPr>
            <w:tcW w:w="2320" w:type="dxa"/>
            <w:tcBorders>
              <w:top w:val="nil"/>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根据资产配置申请表、固定资产管理年报、固定资产报废（损）复函等资料开展自查，我部门资产保存完整，配置合理，处置规范；资产账务管理合规，帐实相符；资产处置收入及时足额上缴</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1873" w:hRule="atLeast"/>
          <w:jc w:val="center"/>
        </w:trPr>
        <w:tc>
          <w:tcPr>
            <w:tcW w:w="624" w:type="dxa"/>
            <w:vMerge w:val="continue"/>
            <w:tcBorders>
              <w:left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固定资产利用率（1分）</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部门（单位）实际在用固定资产总额与所有固定资产总额的比率，用以反映和考核部门（单位）固定资产使用效率程度。</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固定资产利用率=（实际在用固定资产总额/所有固定资产总额）×100%。（利用率为100%的计1分，每降1个百分点扣0.1分，扣完为止）</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w:t>
            </w:r>
          </w:p>
        </w:tc>
        <w:tc>
          <w:tcPr>
            <w:tcW w:w="2320" w:type="dxa"/>
            <w:tcBorders>
              <w:top w:val="nil"/>
              <w:left w:val="nil"/>
              <w:bottom w:val="single" w:color="auto" w:sz="4" w:space="0"/>
              <w:right w:val="single" w:color="auto" w:sz="4" w:space="0"/>
            </w:tcBorders>
            <w:noWrap/>
            <w:vAlign w:val="center"/>
          </w:tcPr>
          <w:p>
            <w:pPr>
              <w:widowControl/>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rPr>
              <w:t>固定资产利用率</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（实际在用固定资产总额/所有固定资产总额）×100%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（4</w:t>
            </w:r>
            <w:r>
              <w:rPr>
                <w:rFonts w:hint="eastAsia" w:ascii="宋体" w:hAnsi="宋体" w:eastAsia="宋体" w:cs="宋体"/>
                <w:kern w:val="0"/>
                <w:sz w:val="20"/>
                <w:szCs w:val="20"/>
                <w:lang w:val="en-US" w:eastAsia="zh-CN"/>
              </w:rPr>
              <w:t>24</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19</w:t>
            </w:r>
            <w:r>
              <w:rPr>
                <w:rFonts w:hint="eastAsia" w:ascii="宋体" w:hAnsi="宋体" w:eastAsia="宋体" w:cs="宋体"/>
                <w:kern w:val="0"/>
                <w:sz w:val="20"/>
                <w:szCs w:val="20"/>
              </w:rPr>
              <w:t>/4</w:t>
            </w:r>
            <w:r>
              <w:rPr>
                <w:rFonts w:hint="eastAsia" w:ascii="宋体" w:hAnsi="宋体" w:eastAsia="宋体" w:cs="宋体"/>
                <w:kern w:val="0"/>
                <w:sz w:val="20"/>
                <w:szCs w:val="20"/>
                <w:lang w:val="en-US" w:eastAsia="zh-CN"/>
              </w:rPr>
              <w:t>24</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19</w:t>
            </w:r>
            <w:r>
              <w:rPr>
                <w:rFonts w:hint="eastAsia" w:ascii="宋体" w:hAnsi="宋体" w:eastAsia="宋体" w:cs="宋体"/>
                <w:kern w:val="0"/>
                <w:sz w:val="20"/>
                <w:szCs w:val="20"/>
              </w:rPr>
              <w:t>）×100%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100%。</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县纪委本级420.39万元、县委巡察办3.8万元）</w:t>
            </w:r>
          </w:p>
          <w:p>
            <w:pPr>
              <w:widowControl/>
              <w:jc w:val="both"/>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2108" w:hRule="atLeast"/>
          <w:jc w:val="center"/>
        </w:trPr>
        <w:tc>
          <w:tcPr>
            <w:tcW w:w="624" w:type="dxa"/>
            <w:vMerge w:val="continue"/>
            <w:tcBorders>
              <w:left w:val="single" w:color="auto" w:sz="4" w:space="0"/>
              <w:right w:val="single" w:color="auto" w:sz="4" w:space="0"/>
            </w:tcBorders>
            <w:noWrap/>
            <w:textDirection w:val="tbRlV"/>
            <w:vAlign w:val="center"/>
          </w:tcPr>
          <w:p>
            <w:pPr>
              <w:widowControl/>
              <w:jc w:val="center"/>
              <w:rPr>
                <w:rFonts w:ascii="Times New Roman" w:hAnsi="Times New Roman"/>
                <w:kern w:val="0"/>
                <w:sz w:val="20"/>
                <w:szCs w:val="20"/>
                <w:highlight w:val="none"/>
              </w:rPr>
            </w:pPr>
          </w:p>
        </w:tc>
        <w:tc>
          <w:tcPr>
            <w:tcW w:w="567" w:type="dxa"/>
            <w:vMerge w:val="restart"/>
            <w:tcBorders>
              <w:top w:val="nil"/>
              <w:left w:val="single" w:color="auto" w:sz="4" w:space="0"/>
              <w:right w:val="single" w:color="auto" w:sz="4" w:space="0"/>
            </w:tcBorders>
            <w:noWrap w:val="0"/>
            <w:vAlign w:val="center"/>
          </w:tcPr>
          <w:p>
            <w:pPr>
              <w:widowControl/>
              <w:jc w:val="center"/>
              <w:rPr>
                <w:rFonts w:hint="default" w:ascii="Times New Roman" w:hAnsi="Times New Roman" w:eastAsia="宋体"/>
                <w:spacing w:val="-20"/>
                <w:kern w:val="0"/>
                <w:sz w:val="20"/>
                <w:szCs w:val="20"/>
                <w:highlight w:val="none"/>
                <w:lang w:val="en-US" w:eastAsia="zh-CN"/>
              </w:rPr>
            </w:pPr>
            <w:r>
              <w:rPr>
                <w:rFonts w:hint="eastAsia" w:ascii="Times New Roman" w:hAnsi="Times New Roman"/>
                <w:spacing w:val="-20"/>
                <w:kern w:val="0"/>
                <w:sz w:val="20"/>
                <w:szCs w:val="20"/>
                <w:highlight w:val="none"/>
                <w:lang w:eastAsia="zh-CN"/>
              </w:rPr>
              <w:t>绩效管理（</w:t>
            </w:r>
            <w:r>
              <w:rPr>
                <w:rFonts w:hint="eastAsia" w:ascii="Times New Roman" w:hAnsi="Times New Roman"/>
                <w:spacing w:val="-20"/>
                <w:kern w:val="0"/>
                <w:sz w:val="20"/>
                <w:szCs w:val="20"/>
                <w:highlight w:val="none"/>
                <w:lang w:val="en-US" w:eastAsia="zh-CN"/>
              </w:rPr>
              <w:t>20分</w:t>
            </w:r>
            <w:r>
              <w:rPr>
                <w:rFonts w:hint="eastAsia" w:ascii="Times New Roman" w:hAnsi="Times New Roman"/>
                <w:spacing w:val="-20"/>
                <w:kern w:val="0"/>
                <w:sz w:val="20"/>
                <w:szCs w:val="20"/>
                <w:highlight w:val="none"/>
                <w:lang w:eastAsia="zh-CN"/>
              </w:rPr>
              <w:t>）</w:t>
            </w:r>
          </w:p>
        </w:tc>
        <w:tc>
          <w:tcPr>
            <w:tcW w:w="9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highlight w:val="none"/>
                <w:lang w:eastAsia="zh-CN"/>
              </w:rPr>
            </w:pPr>
            <w:r>
              <w:rPr>
                <w:rFonts w:hint="eastAsia" w:ascii="Times New Roman" w:hAnsi="Times New Roman"/>
                <w:kern w:val="0"/>
                <w:sz w:val="20"/>
                <w:szCs w:val="20"/>
                <w:highlight w:val="none"/>
                <w:lang w:eastAsia="zh-CN"/>
              </w:rPr>
              <w:t>事前绩效评估（</w:t>
            </w:r>
            <w:r>
              <w:rPr>
                <w:rFonts w:hint="eastAsia" w:ascii="Times New Roman" w:hAnsi="Times New Roman"/>
                <w:kern w:val="0"/>
                <w:sz w:val="20"/>
                <w:szCs w:val="20"/>
                <w:highlight w:val="none"/>
                <w:lang w:val="en-US" w:eastAsia="zh-CN"/>
              </w:rPr>
              <w:t>4分</w:t>
            </w:r>
            <w:r>
              <w:rPr>
                <w:rFonts w:hint="eastAsia" w:ascii="Times New Roman" w:hAnsi="Times New Roman"/>
                <w:kern w:val="0"/>
                <w:sz w:val="20"/>
                <w:szCs w:val="20"/>
                <w:highlight w:val="none"/>
                <w:lang w:eastAsia="zh-CN"/>
              </w:rPr>
              <w:t>）</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w:t>
            </w:r>
            <w:r>
              <w:rPr>
                <w:rFonts w:hint="eastAsia" w:ascii="Times New Roman" w:hAnsi="Times New Roman"/>
                <w:kern w:val="0"/>
                <w:sz w:val="20"/>
                <w:szCs w:val="20"/>
                <w:highlight w:val="none"/>
              </w:rPr>
              <w:t>对新增预算项目、新增额度的延续性项目和追加预算项目的事前绩效评估情况。</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kern w:val="0"/>
                <w:sz w:val="20"/>
                <w:szCs w:val="20"/>
                <w:highlight w:val="none"/>
              </w:rPr>
              <w:t>实行扣分制。被</w:t>
            </w:r>
            <w:r>
              <w:rPr>
                <w:rFonts w:hint="eastAsia" w:ascii="Times New Roman" w:hAnsi="Times New Roman"/>
                <w:kern w:val="0"/>
                <w:sz w:val="20"/>
                <w:szCs w:val="20"/>
                <w:highlight w:val="none"/>
                <w:lang w:eastAsia="zh-CN"/>
              </w:rPr>
              <w:t>评</w:t>
            </w:r>
            <w:r>
              <w:rPr>
                <w:rFonts w:hint="eastAsia" w:ascii="Times New Roman" w:hAnsi="Times New Roman"/>
                <w:kern w:val="0"/>
                <w:sz w:val="20"/>
                <w:szCs w:val="20"/>
                <w:highlight w:val="none"/>
              </w:rPr>
              <w:t>价年度内无新增预算项目、新增额度的延续性项目和追加预算项目的，得满分。有上述任一情形，每有1个项目未提供事前自评估报告的，扣分0.5分，直至该分值扣完。</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4</w:t>
            </w:r>
          </w:p>
        </w:tc>
        <w:tc>
          <w:tcPr>
            <w:tcW w:w="2320" w:type="dxa"/>
            <w:tcBorders>
              <w:top w:val="nil"/>
              <w:left w:val="nil"/>
              <w:bottom w:val="single" w:color="auto" w:sz="4" w:space="0"/>
              <w:right w:val="single" w:color="auto" w:sz="4" w:space="0"/>
            </w:tcBorders>
            <w:noWrap/>
            <w:vAlign w:val="center"/>
          </w:tcPr>
          <w:p>
            <w:pPr>
              <w:widowControl/>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2023年无新增预算项目、新增额度的</w:t>
            </w:r>
            <w:r>
              <w:rPr>
                <w:rFonts w:hint="eastAsia" w:ascii="Times New Roman" w:hAnsi="Times New Roman"/>
                <w:kern w:val="0"/>
                <w:sz w:val="20"/>
                <w:szCs w:val="20"/>
                <w:highlight w:val="none"/>
              </w:rPr>
              <w:t>延续性项目</w:t>
            </w:r>
            <w:r>
              <w:rPr>
                <w:rFonts w:hint="eastAsia" w:ascii="宋体" w:hAnsi="宋体" w:eastAsia="宋体" w:cs="宋体"/>
                <w:kern w:val="0"/>
                <w:sz w:val="20"/>
                <w:szCs w:val="20"/>
                <w:lang w:val="en-US" w:eastAsia="zh-CN"/>
              </w:rPr>
              <w:t>和追加预算项目。</w:t>
            </w:r>
          </w:p>
        </w:tc>
      </w:tr>
      <w:tr>
        <w:tblPrEx>
          <w:tblCellMar>
            <w:top w:w="0" w:type="dxa"/>
            <w:left w:w="108" w:type="dxa"/>
            <w:bottom w:w="0" w:type="dxa"/>
            <w:right w:w="108" w:type="dxa"/>
          </w:tblCellMar>
        </w:tblPrEx>
        <w:trPr>
          <w:trHeight w:val="90" w:hRule="atLeast"/>
          <w:jc w:val="center"/>
        </w:trPr>
        <w:tc>
          <w:tcPr>
            <w:tcW w:w="624" w:type="dxa"/>
            <w:vMerge w:val="continue"/>
            <w:tcBorders>
              <w:left w:val="single" w:color="auto" w:sz="4" w:space="0"/>
              <w:right w:val="single" w:color="auto" w:sz="4" w:space="0"/>
            </w:tcBorders>
            <w:noWrap/>
            <w:textDirection w:val="tbRlV"/>
            <w:vAlign w:val="center"/>
          </w:tcPr>
          <w:p>
            <w:pPr>
              <w:widowControl/>
              <w:jc w:val="center"/>
              <w:rPr>
                <w:rFonts w:ascii="Times New Roman" w:hAnsi="Times New Roman"/>
                <w:kern w:val="0"/>
                <w:sz w:val="20"/>
                <w:szCs w:val="20"/>
                <w:highlight w:val="none"/>
              </w:rPr>
            </w:pPr>
          </w:p>
        </w:tc>
        <w:tc>
          <w:tcPr>
            <w:tcW w:w="567" w:type="dxa"/>
            <w:vMerge w:val="continue"/>
            <w:tcBorders>
              <w:left w:val="single" w:color="auto"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highlight w:val="none"/>
                <w:lang w:eastAsia="zh-CN"/>
              </w:rPr>
            </w:pPr>
            <w:r>
              <w:rPr>
                <w:rFonts w:hint="eastAsia" w:ascii="Times New Roman" w:hAnsi="Times New Roman"/>
                <w:kern w:val="0"/>
                <w:sz w:val="20"/>
                <w:szCs w:val="20"/>
                <w:highlight w:val="none"/>
                <w:lang w:eastAsia="zh-CN"/>
              </w:rPr>
              <w:t>事中绩效监控（</w:t>
            </w:r>
            <w:r>
              <w:rPr>
                <w:rFonts w:hint="eastAsia" w:ascii="Times New Roman" w:hAnsi="Times New Roman"/>
                <w:kern w:val="0"/>
                <w:sz w:val="20"/>
                <w:szCs w:val="20"/>
                <w:highlight w:val="none"/>
                <w:lang w:val="en-US" w:eastAsia="zh-CN"/>
              </w:rPr>
              <w:t>4分</w:t>
            </w:r>
            <w:r>
              <w:rPr>
                <w:rFonts w:hint="eastAsia" w:ascii="Times New Roman" w:hAnsi="Times New Roman"/>
                <w:kern w:val="0"/>
                <w:sz w:val="20"/>
                <w:szCs w:val="20"/>
                <w:highlight w:val="none"/>
                <w:lang w:eastAsia="zh-CN"/>
              </w:rPr>
              <w:t>）</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w:t>
            </w:r>
            <w:r>
              <w:rPr>
                <w:rFonts w:hint="eastAsia" w:ascii="Times New Roman" w:hAnsi="Times New Roman"/>
                <w:kern w:val="0"/>
                <w:sz w:val="20"/>
                <w:szCs w:val="20"/>
                <w:highlight w:val="none"/>
              </w:rPr>
              <w:t>对事中绩效运行监控工作的开展落实情况。</w:t>
            </w:r>
          </w:p>
        </w:tc>
        <w:tc>
          <w:tcPr>
            <w:tcW w:w="280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highlight w:val="none"/>
              </w:rPr>
            </w:pPr>
            <w:r>
              <w:rPr>
                <w:rFonts w:hint="eastAsia" w:ascii="Times New Roman" w:hAnsi="Times New Roman"/>
                <w:kern w:val="0"/>
                <w:sz w:val="20"/>
                <w:szCs w:val="20"/>
                <w:highlight w:val="none"/>
              </w:rPr>
              <w:t>①项目</w:t>
            </w:r>
            <w:r>
              <w:rPr>
                <w:rFonts w:hint="eastAsia" w:ascii="Times New Roman" w:hAnsi="Times New Roman"/>
                <w:kern w:val="0"/>
                <w:sz w:val="20"/>
                <w:szCs w:val="20"/>
                <w:highlight w:val="none"/>
                <w:lang w:eastAsia="zh-CN"/>
              </w:rPr>
              <w:t>监控</w:t>
            </w:r>
            <w:r>
              <w:rPr>
                <w:rFonts w:hint="eastAsia" w:ascii="Times New Roman" w:hAnsi="Times New Roman"/>
                <w:kern w:val="0"/>
                <w:sz w:val="20"/>
                <w:szCs w:val="20"/>
                <w:highlight w:val="none"/>
              </w:rPr>
              <w:t>覆盖率=应实施</w:t>
            </w:r>
            <w:r>
              <w:rPr>
                <w:rFonts w:hint="eastAsia" w:ascii="Times New Roman" w:hAnsi="Times New Roman"/>
                <w:kern w:val="0"/>
                <w:sz w:val="20"/>
                <w:szCs w:val="20"/>
                <w:highlight w:val="none"/>
                <w:lang w:eastAsia="zh-CN"/>
              </w:rPr>
              <w:t>监控</w:t>
            </w:r>
            <w:r>
              <w:rPr>
                <w:rFonts w:hint="eastAsia" w:ascii="Times New Roman" w:hAnsi="Times New Roman"/>
                <w:kern w:val="0"/>
                <w:sz w:val="20"/>
                <w:szCs w:val="20"/>
                <w:highlight w:val="none"/>
              </w:rPr>
              <w:t>项目数量（个）÷实际开展</w:t>
            </w:r>
            <w:r>
              <w:rPr>
                <w:rFonts w:hint="eastAsia" w:ascii="Times New Roman" w:hAnsi="Times New Roman"/>
                <w:kern w:val="0"/>
                <w:sz w:val="20"/>
                <w:szCs w:val="20"/>
                <w:highlight w:val="none"/>
                <w:lang w:eastAsia="zh-CN"/>
              </w:rPr>
              <w:t>监控</w:t>
            </w:r>
            <w:r>
              <w:rPr>
                <w:rFonts w:hint="eastAsia" w:ascii="Times New Roman" w:hAnsi="Times New Roman"/>
                <w:kern w:val="0"/>
                <w:sz w:val="20"/>
                <w:szCs w:val="20"/>
                <w:highlight w:val="none"/>
              </w:rPr>
              <w:t>项目数量（个）×100%；</w:t>
            </w:r>
            <w:r>
              <w:rPr>
                <w:rFonts w:hint="eastAsia" w:ascii="Times New Roman" w:hAnsi="Times New Roman"/>
                <w:kern w:val="0"/>
                <w:sz w:val="20"/>
                <w:szCs w:val="20"/>
                <w:highlight w:val="none"/>
                <w:lang w:eastAsia="zh-CN"/>
              </w:rPr>
              <w:t>（</w:t>
            </w:r>
            <w:r>
              <w:rPr>
                <w:rFonts w:hint="eastAsia" w:ascii="Times New Roman" w:hAnsi="Times New Roman"/>
                <w:kern w:val="0"/>
                <w:sz w:val="20"/>
                <w:szCs w:val="20"/>
                <w:highlight w:val="none"/>
                <w:lang w:val="en-US" w:eastAsia="zh-CN"/>
              </w:rPr>
              <w:t>2分</w:t>
            </w:r>
            <w:r>
              <w:rPr>
                <w:rFonts w:hint="eastAsia" w:ascii="Times New Roman" w:hAnsi="Times New Roman"/>
                <w:kern w:val="0"/>
                <w:sz w:val="20"/>
                <w:szCs w:val="20"/>
                <w:highlight w:val="none"/>
                <w:lang w:eastAsia="zh-CN"/>
              </w:rPr>
              <w:t>）</w:t>
            </w:r>
            <w:r>
              <w:rPr>
                <w:rFonts w:hint="eastAsia" w:ascii="Times New Roman" w:hAnsi="Times New Roman"/>
                <w:kern w:val="0"/>
                <w:sz w:val="20"/>
                <w:szCs w:val="20"/>
                <w:highlight w:val="none"/>
              </w:rPr>
              <w:t xml:space="preserve"> </w:t>
            </w:r>
          </w:p>
          <w:p>
            <w:pPr>
              <w:widowControl/>
              <w:jc w:val="left"/>
              <w:rPr>
                <w:rFonts w:hint="eastAsia" w:ascii="Times New Roman" w:hAnsi="Times New Roman" w:eastAsia="宋体"/>
                <w:kern w:val="0"/>
                <w:sz w:val="20"/>
                <w:szCs w:val="20"/>
                <w:highlight w:val="none"/>
                <w:lang w:eastAsia="zh-CN"/>
              </w:rPr>
            </w:pPr>
            <w:r>
              <w:rPr>
                <w:rFonts w:hint="eastAsia" w:ascii="Times New Roman" w:hAnsi="Times New Roman"/>
                <w:kern w:val="0"/>
                <w:sz w:val="20"/>
                <w:szCs w:val="20"/>
                <w:highlight w:val="none"/>
              </w:rPr>
              <w:t>②</w:t>
            </w:r>
            <w:r>
              <w:rPr>
                <w:rFonts w:hint="eastAsia" w:ascii="Times New Roman" w:hAnsi="Times New Roman"/>
                <w:kern w:val="0"/>
                <w:sz w:val="20"/>
                <w:szCs w:val="20"/>
                <w:highlight w:val="none"/>
                <w:lang w:eastAsia="zh-CN"/>
              </w:rPr>
              <w:t>是否建立绩效监控问题整改机制，对偏离绩效目标和预算执行进度较差项目及时整改。（</w:t>
            </w:r>
            <w:r>
              <w:rPr>
                <w:rFonts w:hint="eastAsia" w:ascii="Times New Roman" w:hAnsi="Times New Roman"/>
                <w:kern w:val="0"/>
                <w:sz w:val="20"/>
                <w:szCs w:val="20"/>
                <w:highlight w:val="none"/>
                <w:lang w:val="en-US" w:eastAsia="zh-CN"/>
              </w:rPr>
              <w:t>2分</w:t>
            </w:r>
            <w:r>
              <w:rPr>
                <w:rFonts w:hint="eastAsia" w:ascii="Times New Roman" w:hAnsi="Times New Roman"/>
                <w:kern w:val="0"/>
                <w:sz w:val="20"/>
                <w:szCs w:val="20"/>
                <w:highlight w:val="none"/>
                <w:lang w:eastAsia="zh-CN"/>
              </w:rPr>
              <w:t>）</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4</w:t>
            </w:r>
          </w:p>
        </w:tc>
        <w:tc>
          <w:tcPr>
            <w:tcW w:w="2320" w:type="dxa"/>
            <w:tcBorders>
              <w:top w:val="nil"/>
              <w:left w:val="nil"/>
              <w:bottom w:val="single" w:color="auto" w:sz="4" w:space="0"/>
              <w:right w:val="single" w:color="auto" w:sz="4" w:space="0"/>
            </w:tcBorders>
            <w:noWrap/>
            <w:vAlign w:val="center"/>
          </w:tcPr>
          <w:p>
            <w:pPr>
              <w:widowControl/>
              <w:jc w:val="both"/>
              <w:rPr>
                <w:rFonts w:hint="eastAsia"/>
                <w:lang w:val="en-US" w:eastAsia="zh-CN"/>
              </w:rPr>
            </w:pPr>
            <w:r>
              <w:rPr>
                <w:rFonts w:hint="eastAsia"/>
              </w:rPr>
              <w:t>①应实施</w:t>
            </w:r>
            <w:r>
              <w:rPr>
                <w:rFonts w:hint="eastAsia"/>
                <w:lang w:eastAsia="zh-CN"/>
              </w:rPr>
              <w:t>监控</w:t>
            </w:r>
            <w:r>
              <w:rPr>
                <w:rFonts w:hint="eastAsia"/>
              </w:rPr>
              <w:t>项目</w:t>
            </w:r>
            <w:r>
              <w:rPr>
                <w:rFonts w:hint="eastAsia"/>
                <w:lang w:val="en-US" w:eastAsia="zh-CN"/>
              </w:rPr>
              <w:t>5</w:t>
            </w:r>
            <w:r>
              <w:rPr>
                <w:rFonts w:hint="eastAsia"/>
              </w:rPr>
              <w:t>（个）÷实际开展</w:t>
            </w:r>
            <w:r>
              <w:rPr>
                <w:rFonts w:hint="eastAsia"/>
                <w:lang w:eastAsia="zh-CN"/>
              </w:rPr>
              <w:t>监控</w:t>
            </w:r>
            <w:r>
              <w:rPr>
                <w:rFonts w:hint="eastAsia"/>
              </w:rPr>
              <w:t>项目数量</w:t>
            </w:r>
            <w:r>
              <w:rPr>
                <w:rFonts w:hint="eastAsia"/>
                <w:lang w:val="en-US" w:eastAsia="zh-CN"/>
              </w:rPr>
              <w:t>5</w:t>
            </w:r>
            <w:r>
              <w:rPr>
                <w:rFonts w:hint="eastAsia"/>
              </w:rPr>
              <w:t>（个）×100%</w:t>
            </w:r>
            <w:r>
              <w:rPr>
                <w:rFonts w:hint="eastAsia"/>
                <w:lang w:val="en-US" w:eastAsia="zh-CN"/>
              </w:rPr>
              <w:t>=100%；</w:t>
            </w:r>
          </w:p>
          <w:p>
            <w:pPr>
              <w:pStyle w:val="6"/>
              <w:rPr>
                <w:rFonts w:hint="default" w:ascii="Calibri" w:hAnsi="Calibri" w:eastAsia="宋体" w:cs="Times New Roman"/>
                <w:kern w:val="2"/>
                <w:sz w:val="21"/>
                <w:szCs w:val="24"/>
                <w:lang w:val="en-US" w:eastAsia="zh-CN" w:bidi="ar-SA"/>
              </w:rPr>
            </w:pPr>
            <w:r>
              <w:rPr>
                <w:rFonts w:hint="eastAsia" w:ascii="Times New Roman" w:hAnsi="Times New Roman"/>
                <w:kern w:val="0"/>
                <w:sz w:val="20"/>
                <w:szCs w:val="20"/>
                <w:highlight w:val="none"/>
              </w:rPr>
              <w:t>②</w:t>
            </w:r>
            <w:r>
              <w:rPr>
                <w:rFonts w:hint="eastAsia" w:ascii="Times New Roman" w:hAnsi="Times New Roman"/>
                <w:kern w:val="0"/>
                <w:sz w:val="20"/>
                <w:szCs w:val="20"/>
                <w:highlight w:val="none"/>
                <w:lang w:eastAsia="zh-CN"/>
              </w:rPr>
              <w:t>建立绩效监控问题整改机制，对偏离绩效目标和预算执行进度较差项目及时整改</w:t>
            </w:r>
          </w:p>
        </w:tc>
      </w:tr>
      <w:tr>
        <w:tblPrEx>
          <w:tblCellMar>
            <w:top w:w="0" w:type="dxa"/>
            <w:left w:w="108" w:type="dxa"/>
            <w:bottom w:w="0" w:type="dxa"/>
            <w:right w:w="108" w:type="dxa"/>
          </w:tblCellMar>
        </w:tblPrEx>
        <w:trPr>
          <w:trHeight w:val="2412" w:hRule="atLeast"/>
          <w:jc w:val="center"/>
        </w:trPr>
        <w:tc>
          <w:tcPr>
            <w:tcW w:w="624" w:type="dxa"/>
            <w:vMerge w:val="continue"/>
            <w:tcBorders>
              <w:left w:val="single" w:color="auto" w:sz="4" w:space="0"/>
              <w:right w:val="single" w:color="auto" w:sz="4" w:space="0"/>
            </w:tcBorders>
            <w:noWrap/>
            <w:textDirection w:val="tbRlV"/>
            <w:vAlign w:val="center"/>
          </w:tcPr>
          <w:p>
            <w:pPr>
              <w:widowControl/>
              <w:jc w:val="center"/>
              <w:rPr>
                <w:rFonts w:ascii="Times New Roman" w:hAnsi="Times New Roman"/>
                <w:kern w:val="0"/>
                <w:sz w:val="20"/>
                <w:szCs w:val="20"/>
                <w:highlight w:val="none"/>
              </w:rPr>
            </w:pPr>
          </w:p>
        </w:tc>
        <w:tc>
          <w:tcPr>
            <w:tcW w:w="567" w:type="dxa"/>
            <w:vMerge w:val="continue"/>
            <w:tcBorders>
              <w:left w:val="single" w:color="auto"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highlight w:val="none"/>
                <w:lang w:eastAsia="zh-CN"/>
              </w:rPr>
            </w:pPr>
            <w:r>
              <w:rPr>
                <w:rFonts w:hint="eastAsia" w:ascii="Times New Roman" w:hAnsi="Times New Roman"/>
                <w:kern w:val="0"/>
                <w:sz w:val="20"/>
                <w:szCs w:val="20"/>
                <w:highlight w:val="none"/>
                <w:lang w:eastAsia="zh-CN"/>
              </w:rPr>
              <w:t>事后绩效自评（</w:t>
            </w:r>
            <w:r>
              <w:rPr>
                <w:rFonts w:hint="eastAsia" w:ascii="Times New Roman" w:hAnsi="Times New Roman"/>
                <w:kern w:val="0"/>
                <w:sz w:val="20"/>
                <w:szCs w:val="20"/>
                <w:highlight w:val="none"/>
                <w:lang w:val="en-US" w:eastAsia="zh-CN"/>
              </w:rPr>
              <w:t>5分</w:t>
            </w:r>
            <w:r>
              <w:rPr>
                <w:rFonts w:hint="eastAsia" w:ascii="Times New Roman" w:hAnsi="Times New Roman"/>
                <w:kern w:val="0"/>
                <w:sz w:val="20"/>
                <w:szCs w:val="20"/>
                <w:highlight w:val="none"/>
                <w:lang w:eastAsia="zh-CN"/>
              </w:rPr>
              <w:t>）</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kern w:val="0"/>
                <w:sz w:val="20"/>
                <w:szCs w:val="20"/>
                <w:highlight w:val="none"/>
              </w:rPr>
              <w:t>根据自评项目覆盖率评价</w:t>
            </w:r>
            <w:r>
              <w:rPr>
                <w:rFonts w:ascii="Times New Roman" w:hAnsi="Times New Roman"/>
                <w:kern w:val="0"/>
                <w:sz w:val="20"/>
                <w:szCs w:val="20"/>
                <w:highlight w:val="none"/>
              </w:rPr>
              <w:t>部门（单位）</w:t>
            </w:r>
            <w:r>
              <w:rPr>
                <w:rFonts w:hint="eastAsia" w:ascii="Times New Roman" w:hAnsi="Times New Roman"/>
                <w:kern w:val="0"/>
                <w:sz w:val="20"/>
                <w:szCs w:val="20"/>
                <w:highlight w:val="none"/>
              </w:rPr>
              <w:t>对事后绩效自评工作的开展落实情况。项目自评覆盖率=应实施自评项目数量（个）÷实际开展自评项目数量（个）×100%。</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kern w:val="0"/>
                <w:sz w:val="20"/>
                <w:szCs w:val="20"/>
                <w:highlight w:val="none"/>
              </w:rPr>
              <w:t>得分=分值×自评项目覆盖率。</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5</w:t>
            </w:r>
          </w:p>
        </w:tc>
        <w:tc>
          <w:tcPr>
            <w:tcW w:w="2320" w:type="dxa"/>
            <w:tcBorders>
              <w:top w:val="nil"/>
              <w:left w:val="nil"/>
              <w:bottom w:val="single" w:color="auto" w:sz="4" w:space="0"/>
              <w:right w:val="single" w:color="auto" w:sz="4" w:space="0"/>
            </w:tcBorders>
            <w:noWrap/>
            <w:vAlign w:val="center"/>
          </w:tcPr>
          <w:p>
            <w:pPr>
              <w:widowControl/>
              <w:jc w:val="both"/>
              <w:rPr>
                <w:rFonts w:hint="default" w:ascii="宋体" w:hAnsi="宋体" w:eastAsia="宋体" w:cs="宋体"/>
                <w:kern w:val="0"/>
                <w:sz w:val="20"/>
                <w:szCs w:val="20"/>
                <w:lang w:val="en-US" w:eastAsia="zh-CN" w:bidi="ar-SA"/>
              </w:rPr>
            </w:pPr>
            <w:r>
              <w:rPr>
                <w:rFonts w:hint="eastAsia" w:ascii="Times New Roman" w:hAnsi="Times New Roman"/>
                <w:kern w:val="0"/>
                <w:sz w:val="20"/>
                <w:szCs w:val="20"/>
                <w:highlight w:val="none"/>
              </w:rPr>
              <w:t>应实施自评项目</w:t>
            </w:r>
            <w:r>
              <w:rPr>
                <w:rFonts w:hint="eastAsia" w:ascii="Times New Roman" w:hAnsi="Times New Roman"/>
                <w:kern w:val="0"/>
                <w:sz w:val="20"/>
                <w:szCs w:val="20"/>
                <w:highlight w:val="none"/>
                <w:lang w:val="en-US" w:eastAsia="zh-CN"/>
              </w:rPr>
              <w:t>5</w:t>
            </w:r>
            <w:r>
              <w:rPr>
                <w:rFonts w:hint="eastAsia" w:ascii="Times New Roman" w:hAnsi="Times New Roman"/>
                <w:kern w:val="0"/>
                <w:sz w:val="20"/>
                <w:szCs w:val="20"/>
                <w:highlight w:val="none"/>
              </w:rPr>
              <w:t>个÷实际开展自评项目</w:t>
            </w:r>
            <w:r>
              <w:rPr>
                <w:rFonts w:hint="eastAsia" w:ascii="Times New Roman" w:hAnsi="Times New Roman"/>
                <w:kern w:val="0"/>
                <w:sz w:val="20"/>
                <w:szCs w:val="20"/>
                <w:highlight w:val="none"/>
                <w:lang w:val="en-US" w:eastAsia="zh-CN"/>
              </w:rPr>
              <w:t>5</w:t>
            </w:r>
            <w:r>
              <w:rPr>
                <w:rFonts w:hint="eastAsia" w:ascii="Times New Roman" w:hAnsi="Times New Roman"/>
                <w:kern w:val="0"/>
                <w:sz w:val="20"/>
                <w:szCs w:val="20"/>
                <w:highlight w:val="none"/>
              </w:rPr>
              <w:t>个×100%</w:t>
            </w:r>
            <w:r>
              <w:rPr>
                <w:rFonts w:hint="eastAsia" w:ascii="Times New Roman" w:hAnsi="Times New Roman"/>
                <w:kern w:val="0"/>
                <w:sz w:val="20"/>
                <w:szCs w:val="20"/>
                <w:highlight w:val="none"/>
                <w:lang w:val="en-US" w:eastAsia="zh-CN"/>
              </w:rPr>
              <w:t>=100%</w:t>
            </w:r>
          </w:p>
        </w:tc>
      </w:tr>
      <w:tr>
        <w:tblPrEx>
          <w:tblCellMar>
            <w:top w:w="0" w:type="dxa"/>
            <w:left w:w="108" w:type="dxa"/>
            <w:bottom w:w="0" w:type="dxa"/>
            <w:right w:w="108" w:type="dxa"/>
          </w:tblCellMar>
        </w:tblPrEx>
        <w:trPr>
          <w:trHeight w:val="2774" w:hRule="atLeast"/>
          <w:jc w:val="center"/>
        </w:trPr>
        <w:tc>
          <w:tcPr>
            <w:tcW w:w="624" w:type="dxa"/>
            <w:vMerge w:val="continue"/>
            <w:tcBorders>
              <w:left w:val="single" w:color="auto" w:sz="4" w:space="0"/>
              <w:right w:val="single" w:color="auto" w:sz="4" w:space="0"/>
            </w:tcBorders>
            <w:noWrap/>
            <w:textDirection w:val="tbRlV"/>
            <w:vAlign w:val="center"/>
          </w:tcPr>
          <w:p>
            <w:pPr>
              <w:widowControl/>
              <w:jc w:val="center"/>
              <w:rPr>
                <w:rFonts w:ascii="Times New Roman" w:hAnsi="Times New Roman"/>
                <w:kern w:val="0"/>
                <w:sz w:val="20"/>
                <w:szCs w:val="20"/>
                <w:highlight w:val="none"/>
              </w:rPr>
            </w:pPr>
          </w:p>
        </w:tc>
        <w:tc>
          <w:tcPr>
            <w:tcW w:w="567" w:type="dxa"/>
            <w:vMerge w:val="continue"/>
            <w:tcBorders>
              <w:left w:val="single" w:color="auto"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kern w:val="0"/>
                <w:sz w:val="20"/>
                <w:szCs w:val="20"/>
                <w:highlight w:val="none"/>
                <w:lang w:val="en-US" w:eastAsia="zh-CN"/>
              </w:rPr>
            </w:pPr>
            <w:r>
              <w:rPr>
                <w:rFonts w:hint="eastAsia" w:ascii="Times New Roman" w:hAnsi="Times New Roman"/>
                <w:kern w:val="0"/>
                <w:sz w:val="20"/>
                <w:szCs w:val="20"/>
                <w:highlight w:val="none"/>
                <w:lang w:eastAsia="zh-CN"/>
              </w:rPr>
              <w:t>绩效结果应用率（</w:t>
            </w:r>
            <w:r>
              <w:rPr>
                <w:rFonts w:hint="eastAsia" w:ascii="Times New Roman" w:hAnsi="Times New Roman"/>
                <w:kern w:val="0"/>
                <w:sz w:val="20"/>
                <w:szCs w:val="20"/>
                <w:highlight w:val="none"/>
                <w:lang w:val="en-US" w:eastAsia="zh-CN"/>
              </w:rPr>
              <w:t>5分</w:t>
            </w:r>
            <w:r>
              <w:rPr>
                <w:rFonts w:hint="eastAsia" w:ascii="Times New Roman" w:hAnsi="Times New Roman"/>
                <w:kern w:val="0"/>
                <w:sz w:val="20"/>
                <w:szCs w:val="20"/>
                <w:highlight w:val="none"/>
                <w:lang w:eastAsia="zh-CN"/>
              </w:rPr>
              <w:t>）</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w:t>
            </w:r>
            <w:r>
              <w:rPr>
                <w:rFonts w:hint="eastAsia" w:ascii="Times New Roman" w:hAnsi="Times New Roman"/>
                <w:kern w:val="0"/>
                <w:sz w:val="20"/>
                <w:szCs w:val="20"/>
                <w:highlight w:val="none"/>
              </w:rPr>
              <w:t>绩效管理结果应用落实情况。绩效结果应用率=绩效管理各环节绩效管理发现的问题和建议得到实际应用的数量÷绩效管理各环节绩效管理发现的问题和建议总数×100%。</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kern w:val="0"/>
                <w:sz w:val="20"/>
                <w:szCs w:val="20"/>
                <w:highlight w:val="none"/>
              </w:rPr>
              <w:t>得分=分值×绩效结果应用率。需要</w:t>
            </w:r>
            <w:r>
              <w:rPr>
                <w:rFonts w:ascii="Times New Roman" w:hAnsi="Times New Roman"/>
                <w:kern w:val="0"/>
                <w:sz w:val="20"/>
                <w:szCs w:val="20"/>
                <w:highlight w:val="none"/>
              </w:rPr>
              <w:t>部门（单位）</w:t>
            </w:r>
            <w:r>
              <w:rPr>
                <w:rFonts w:hint="eastAsia" w:ascii="Times New Roman" w:hAnsi="Times New Roman"/>
                <w:kern w:val="0"/>
                <w:sz w:val="20"/>
                <w:szCs w:val="20"/>
                <w:highlight w:val="none"/>
              </w:rPr>
              <w:t>提供结果应用充分的佐证资料，无佐证资料或证明力度不足的，得0分。</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5</w:t>
            </w:r>
          </w:p>
        </w:tc>
        <w:tc>
          <w:tcPr>
            <w:tcW w:w="2320" w:type="dxa"/>
            <w:tcBorders>
              <w:top w:val="nil"/>
              <w:left w:val="nil"/>
              <w:bottom w:val="single" w:color="auto" w:sz="4" w:space="0"/>
              <w:right w:val="single" w:color="auto" w:sz="4" w:space="0"/>
            </w:tcBorders>
            <w:noWrap/>
            <w:vAlign w:val="center"/>
          </w:tcPr>
          <w:p>
            <w:pPr>
              <w:widowControl/>
              <w:jc w:val="both"/>
              <w:rPr>
                <w:rFonts w:hint="default" w:ascii="宋体" w:hAnsi="宋体" w:eastAsia="宋体" w:cs="宋体"/>
                <w:kern w:val="0"/>
                <w:sz w:val="20"/>
                <w:szCs w:val="20"/>
                <w:lang w:val="en-US" w:eastAsia="zh-CN" w:bidi="ar-SA"/>
              </w:rPr>
            </w:pPr>
            <w:r>
              <w:rPr>
                <w:rFonts w:hint="eastAsia" w:ascii="Times New Roman" w:hAnsi="Times New Roman" w:eastAsia="宋体" w:cs="Times New Roman"/>
                <w:kern w:val="0"/>
                <w:sz w:val="20"/>
                <w:szCs w:val="20"/>
                <w:highlight w:val="none"/>
                <w:lang w:val="en-US" w:eastAsia="zh-CN"/>
              </w:rPr>
              <w:t>2023年我部门通过建立奖惩制度将预算绩效管理的工作纳入绩效考核，并作为政绩考核依据，将</w:t>
            </w:r>
            <w:r>
              <w:rPr>
                <w:rFonts w:hint="eastAsia" w:ascii="Times New Roman" w:hAnsi="Times New Roman" w:eastAsia="宋体" w:cs="Times New Roman"/>
                <w:kern w:val="0"/>
                <w:sz w:val="20"/>
                <w:szCs w:val="20"/>
                <w:highlight w:val="none"/>
                <w:lang w:eastAsia="zh-CN"/>
              </w:rPr>
              <w:t>绩效评价结果作为年度安排预算项目资金和改进预算管理的依据。</w:t>
            </w:r>
            <w:r>
              <w:rPr>
                <w:rFonts w:hint="eastAsia" w:ascii="Times New Roman" w:hAnsi="Times New Roman" w:eastAsia="宋体" w:cs="Times New Roman"/>
                <w:kern w:val="0"/>
                <w:sz w:val="20"/>
                <w:szCs w:val="20"/>
                <w:highlight w:val="none"/>
                <w:lang w:val="en-US" w:eastAsia="zh-CN"/>
              </w:rPr>
              <w:t>依据《县纪委监委机关绩效管理考核办法》</w:t>
            </w:r>
          </w:p>
        </w:tc>
      </w:tr>
      <w:tr>
        <w:tblPrEx>
          <w:tblCellMar>
            <w:top w:w="0" w:type="dxa"/>
            <w:left w:w="108" w:type="dxa"/>
            <w:bottom w:w="0" w:type="dxa"/>
            <w:right w:w="108" w:type="dxa"/>
          </w:tblCellMar>
        </w:tblPrEx>
        <w:trPr>
          <w:trHeight w:val="1383" w:hRule="atLeast"/>
          <w:jc w:val="center"/>
        </w:trPr>
        <w:tc>
          <w:tcPr>
            <w:tcW w:w="624" w:type="dxa"/>
            <w:vMerge w:val="continue"/>
            <w:tcBorders>
              <w:left w:val="single" w:color="auto" w:sz="4" w:space="0"/>
              <w:bottom w:val="single" w:color="auto" w:sz="4" w:space="0"/>
              <w:right w:val="single" w:color="auto" w:sz="4" w:space="0"/>
            </w:tcBorders>
            <w:noWrap/>
            <w:textDirection w:val="tbRlV"/>
            <w:vAlign w:val="center"/>
          </w:tcPr>
          <w:p>
            <w:pPr>
              <w:widowControl/>
              <w:jc w:val="center"/>
              <w:rPr>
                <w:rFonts w:ascii="Times New Roman" w:hAnsi="Times New Roman"/>
                <w:kern w:val="0"/>
                <w:sz w:val="20"/>
                <w:szCs w:val="20"/>
                <w:highlight w:val="none"/>
              </w:rPr>
            </w:pPr>
          </w:p>
        </w:tc>
        <w:tc>
          <w:tcPr>
            <w:tcW w:w="567"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highlight w:val="none"/>
                <w:lang w:eastAsia="zh-CN"/>
              </w:rPr>
            </w:pPr>
            <w:r>
              <w:rPr>
                <w:rFonts w:hint="eastAsia" w:ascii="Times New Roman" w:hAnsi="Times New Roman"/>
                <w:kern w:val="0"/>
                <w:sz w:val="20"/>
                <w:szCs w:val="20"/>
                <w:highlight w:val="none"/>
                <w:lang w:eastAsia="zh-CN"/>
              </w:rPr>
              <w:t>绩效信息公开（</w:t>
            </w:r>
            <w:r>
              <w:rPr>
                <w:rFonts w:hint="eastAsia" w:ascii="Times New Roman" w:hAnsi="Times New Roman"/>
                <w:kern w:val="0"/>
                <w:sz w:val="20"/>
                <w:szCs w:val="20"/>
                <w:highlight w:val="none"/>
                <w:lang w:val="en-US" w:eastAsia="zh-CN"/>
              </w:rPr>
              <w:t>2分</w:t>
            </w:r>
            <w:r>
              <w:rPr>
                <w:rFonts w:hint="eastAsia" w:ascii="Times New Roman" w:hAnsi="Times New Roman"/>
                <w:kern w:val="0"/>
                <w:sz w:val="20"/>
                <w:szCs w:val="20"/>
                <w:highlight w:val="none"/>
                <w:lang w:eastAsia="zh-CN"/>
              </w:rPr>
              <w:t>）</w:t>
            </w:r>
          </w:p>
        </w:tc>
        <w:tc>
          <w:tcPr>
            <w:tcW w:w="1967"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w:t>
            </w:r>
            <w:r>
              <w:rPr>
                <w:rFonts w:hint="eastAsia" w:ascii="Times New Roman" w:hAnsi="Times New Roman"/>
                <w:kern w:val="0"/>
                <w:sz w:val="20"/>
                <w:szCs w:val="20"/>
                <w:highlight w:val="none"/>
              </w:rPr>
              <w:t>是否按要求</w:t>
            </w:r>
            <w:r>
              <w:rPr>
                <w:rFonts w:hint="eastAsia" w:ascii="Times New Roman" w:hAnsi="Times New Roman"/>
                <w:kern w:val="0"/>
                <w:sz w:val="20"/>
                <w:szCs w:val="20"/>
                <w:highlight w:val="none"/>
                <w:lang w:eastAsia="zh-CN"/>
              </w:rPr>
              <w:t>对</w:t>
            </w:r>
            <w:r>
              <w:rPr>
                <w:rFonts w:hint="eastAsia" w:ascii="Times New Roman" w:hAnsi="Times New Roman"/>
                <w:kern w:val="0"/>
                <w:sz w:val="20"/>
                <w:szCs w:val="20"/>
                <w:highlight w:val="none"/>
              </w:rPr>
              <w:t>绩效管理信息向社会公开。</w:t>
            </w:r>
          </w:p>
        </w:tc>
        <w:tc>
          <w:tcPr>
            <w:tcW w:w="2800"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hint="eastAsia" w:ascii="Times New Roman" w:hAnsi="Times New Roman"/>
                <w:kern w:val="0"/>
                <w:sz w:val="20"/>
                <w:szCs w:val="20"/>
                <w:highlight w:val="none"/>
                <w:lang w:eastAsia="zh-CN"/>
              </w:rPr>
              <w:t>是否公开绩效目标申报表、绩效自评报告及自评表，少公开一项扣</w:t>
            </w:r>
            <w:r>
              <w:rPr>
                <w:rFonts w:hint="eastAsia" w:ascii="Times New Roman" w:hAnsi="Times New Roman"/>
                <w:kern w:val="0"/>
                <w:sz w:val="20"/>
                <w:szCs w:val="20"/>
                <w:highlight w:val="none"/>
                <w:lang w:val="en-US" w:eastAsia="zh-CN"/>
              </w:rPr>
              <w:t>1分，扣完为止</w:t>
            </w:r>
            <w:r>
              <w:rPr>
                <w:rFonts w:hint="eastAsia" w:ascii="Times New Roman" w:hAnsi="Times New Roman"/>
                <w:kern w:val="0"/>
                <w:sz w:val="20"/>
                <w:szCs w:val="20"/>
                <w:highlight w:val="none"/>
              </w:rPr>
              <w:t>。</w:t>
            </w:r>
          </w:p>
        </w:tc>
        <w:tc>
          <w:tcPr>
            <w:tcW w:w="68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w:t>
            </w:r>
          </w:p>
        </w:tc>
        <w:tc>
          <w:tcPr>
            <w:tcW w:w="2320" w:type="dxa"/>
            <w:tcBorders>
              <w:top w:val="nil"/>
              <w:left w:val="nil"/>
              <w:bottom w:val="single" w:color="auto" w:sz="4" w:space="0"/>
              <w:right w:val="single" w:color="auto" w:sz="4" w:space="0"/>
            </w:tcBorders>
            <w:noWrap/>
            <w:vAlign w:val="center"/>
          </w:tcPr>
          <w:p>
            <w:pPr>
              <w:widowControl/>
              <w:jc w:val="both"/>
              <w:rPr>
                <w:rFonts w:hint="default" w:ascii="宋体" w:hAnsi="宋体" w:eastAsia="宋体" w:cs="宋体"/>
                <w:kern w:val="0"/>
                <w:sz w:val="20"/>
                <w:szCs w:val="20"/>
                <w:lang w:val="en-US" w:eastAsia="zh-CN" w:bidi="ar-SA"/>
              </w:rPr>
            </w:pPr>
            <w:r>
              <w:rPr>
                <w:rFonts w:hint="eastAsia" w:ascii="Times New Roman" w:hAnsi="Times New Roman"/>
                <w:kern w:val="0"/>
                <w:sz w:val="20"/>
                <w:szCs w:val="20"/>
                <w:highlight w:val="none"/>
                <w:lang w:eastAsia="zh-CN"/>
              </w:rPr>
              <w:t>绩效目标申报表、绩效自评报告</w:t>
            </w:r>
            <w:r>
              <w:rPr>
                <w:rFonts w:hint="eastAsia" w:ascii="Times New Roman" w:hAnsi="Times New Roman"/>
                <w:kern w:val="0"/>
                <w:sz w:val="20"/>
                <w:szCs w:val="20"/>
                <w:highlight w:val="none"/>
                <w:lang w:val="en-US" w:eastAsia="zh-CN"/>
              </w:rPr>
              <w:t>及时</w:t>
            </w:r>
            <w:r>
              <w:rPr>
                <w:rFonts w:hint="eastAsia" w:ascii="宋体" w:hAnsi="宋体" w:eastAsia="宋体" w:cs="宋体"/>
                <w:kern w:val="0"/>
                <w:sz w:val="20"/>
                <w:szCs w:val="20"/>
              </w:rPr>
              <w:t>在安岳纪检监察官网上公开</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3115" w:hRule="atLeast"/>
          <w:jc w:val="center"/>
        </w:trPr>
        <w:tc>
          <w:tcPr>
            <w:tcW w:w="624"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Times New Roman" w:hAnsi="Times New Roman"/>
                <w:kern w:val="0"/>
                <w:sz w:val="20"/>
                <w:szCs w:val="20"/>
                <w:highlight w:val="none"/>
              </w:rPr>
            </w:pPr>
            <w:r>
              <w:rPr>
                <w:rFonts w:ascii="Times New Roman" w:hAnsi="Times New Roman"/>
                <w:kern w:val="0"/>
                <w:sz w:val="20"/>
                <w:szCs w:val="20"/>
                <w:highlight w:val="none"/>
              </w:rPr>
              <w:t>产 出（30分）</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spacing w:val="-20"/>
                <w:kern w:val="0"/>
                <w:sz w:val="20"/>
                <w:szCs w:val="20"/>
                <w:highlight w:val="none"/>
              </w:rPr>
            </w:pPr>
            <w:r>
              <w:rPr>
                <w:rFonts w:ascii="Times New Roman" w:hAnsi="Times New Roman"/>
                <w:spacing w:val="-20"/>
                <w:kern w:val="0"/>
                <w:sz w:val="20"/>
                <w:szCs w:val="20"/>
                <w:highlight w:val="none"/>
              </w:rPr>
              <w:t>职责履行（30分）</w:t>
            </w: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实际完成率（8分）</w:t>
            </w:r>
          </w:p>
        </w:tc>
        <w:tc>
          <w:tcPr>
            <w:tcW w:w="196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部门（单位）履行职责而实际完成工作数与计划工作数的比率，用以反映和考核部门（单位）履职工作任务目标的实现程度。</w:t>
            </w:r>
          </w:p>
        </w:tc>
        <w:tc>
          <w:tcPr>
            <w:tcW w:w="280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实际完成率=（实际完成工作数/计划工作数）×100%。（实际得分=实际工作完成率*8分）</w:t>
            </w:r>
            <w:r>
              <w:rPr>
                <w:rFonts w:ascii="Times New Roman" w:hAnsi="Times New Roman"/>
                <w:kern w:val="0"/>
                <w:sz w:val="20"/>
                <w:szCs w:val="20"/>
                <w:highlight w:val="none"/>
              </w:rPr>
              <w:br w:type="textWrapping"/>
            </w:r>
            <w:r>
              <w:rPr>
                <w:rFonts w:ascii="Times New Roman" w:hAnsi="Times New Roman"/>
                <w:kern w:val="0"/>
                <w:sz w:val="20"/>
                <w:szCs w:val="20"/>
                <w:highlight w:val="none"/>
              </w:rPr>
              <w:t>实际完成工作数：一定时期（年度或规划期）内部门（单位）实际完成工作任务的数量。</w:t>
            </w:r>
            <w:r>
              <w:rPr>
                <w:rFonts w:ascii="Times New Roman" w:hAnsi="Times New Roman"/>
                <w:kern w:val="0"/>
                <w:sz w:val="20"/>
                <w:szCs w:val="20"/>
                <w:highlight w:val="none"/>
              </w:rPr>
              <w:br w:type="textWrapping"/>
            </w:r>
            <w:r>
              <w:rPr>
                <w:rFonts w:ascii="Times New Roman" w:hAnsi="Times New Roman"/>
                <w:kern w:val="0"/>
                <w:sz w:val="20"/>
                <w:szCs w:val="20"/>
                <w:highlight w:val="none"/>
              </w:rPr>
              <w:t>计划工作数：部门（单位）整体绩效目标确定的一定时期（年度或规划期）内预计完成工作任务的数量。</w:t>
            </w:r>
          </w:p>
        </w:tc>
        <w:tc>
          <w:tcPr>
            <w:tcW w:w="68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w:t>
            </w:r>
          </w:p>
        </w:tc>
        <w:tc>
          <w:tcPr>
            <w:tcW w:w="2320" w:type="dxa"/>
            <w:tcBorders>
              <w:top w:val="single" w:color="auto" w:sz="4" w:space="0"/>
              <w:left w:val="nil"/>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根据年度工作总结及目标考核结果，202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年计划完成工作8项，实际完成工作8项，实际得分8分</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1873" w:hRule="atLeast"/>
          <w:jc w:val="center"/>
        </w:trPr>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完成及时率（4分）</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部门（单位）在规定时限内及时完成的实际工作数与计划工作数的比率,用以反映和考核部门履职时效目标的实现程度。</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r>
              <w:rPr>
                <w:rFonts w:ascii="Times New Roman" w:hAnsi="Times New Roman"/>
                <w:kern w:val="0"/>
                <w:sz w:val="20"/>
                <w:szCs w:val="20"/>
                <w:highlight w:val="none"/>
              </w:rPr>
              <w:t>完成及时率=（及时完成实际工作数/计划工作数）×100%。（1--4季度各得1分）</w:t>
            </w:r>
            <w:r>
              <w:rPr>
                <w:rFonts w:ascii="Times New Roman" w:hAnsi="Times New Roman"/>
                <w:kern w:val="0"/>
                <w:sz w:val="20"/>
                <w:szCs w:val="20"/>
                <w:highlight w:val="none"/>
              </w:rPr>
              <w:br w:type="textWrapping"/>
            </w:r>
            <w:r>
              <w:rPr>
                <w:rFonts w:ascii="Times New Roman" w:hAnsi="Times New Roman"/>
                <w:kern w:val="0"/>
                <w:sz w:val="20"/>
                <w:szCs w:val="20"/>
                <w:highlight w:val="none"/>
              </w:rPr>
              <w:t>及时完成实际工作数：部门（单位）按照整体绩效目标确定的时限实际完成的工作任务数量。</w:t>
            </w:r>
          </w:p>
        </w:tc>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4</w:t>
            </w:r>
          </w:p>
        </w:tc>
        <w:tc>
          <w:tcPr>
            <w:tcW w:w="2320"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根据市纪委监委、县委目标考核结果，均在规定时限内完成工作任务，完成及时率100%</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639" w:hRule="atLeast"/>
          <w:jc w:val="center"/>
        </w:trPr>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质量达标率（8分）</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达到质量标准（绩效标准值）的实际工作数与计划工作数的比率,用以反映和考核部门履职质量目标的实现程度。</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质量达标率=（质量达标实际工作数/计划工作数）×100%。（实际得分=达标率*8分）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质量达标实际工作数：一定时期（年度或规划期）内部门（单位）实际完成工作数中达到部门绩效目标要求（绩效标准值）的工作任务数量。</w:t>
            </w:r>
          </w:p>
        </w:tc>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8</w:t>
            </w:r>
          </w:p>
        </w:tc>
        <w:tc>
          <w:tcPr>
            <w:tcW w:w="2320"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sz w:val="20"/>
                <w:szCs w:val="20"/>
              </w:rPr>
              <w:t>各项工作有序高效</w:t>
            </w:r>
            <w:r>
              <w:rPr>
                <w:rFonts w:hint="eastAsia" w:ascii="宋体" w:hAnsi="宋体" w:eastAsia="宋体" w:cs="宋体"/>
                <w:color w:val="000000"/>
                <w:sz w:val="20"/>
                <w:szCs w:val="20"/>
              </w:rPr>
              <w:t>开展，</w:t>
            </w:r>
            <w:r>
              <w:rPr>
                <w:rFonts w:hint="eastAsia" w:ascii="宋体" w:hAnsi="宋体" w:eastAsia="宋体" w:cs="宋体"/>
                <w:sz w:val="20"/>
                <w:szCs w:val="20"/>
              </w:rPr>
              <w:t>均达到目标考核要求</w:t>
            </w:r>
            <w:r>
              <w:rPr>
                <w:rFonts w:hint="eastAsia" w:ascii="宋体" w:hAnsi="宋体" w:eastAsia="宋体" w:cs="宋体"/>
                <w:color w:val="000000"/>
                <w:sz w:val="20"/>
                <w:szCs w:val="20"/>
              </w:rPr>
              <w:t>，质量达标率100%</w:t>
            </w:r>
            <w:r>
              <w:rPr>
                <w:rFonts w:hint="eastAsia" w:ascii="宋体" w:hAnsi="宋体" w:eastAsia="宋体" w:cs="宋体"/>
                <w:color w:val="000000"/>
                <w:sz w:val="20"/>
                <w:szCs w:val="20"/>
                <w:lang w:eastAsia="zh-CN"/>
              </w:rPr>
              <w:t>。</w:t>
            </w:r>
          </w:p>
        </w:tc>
      </w:tr>
      <w:tr>
        <w:tblPrEx>
          <w:tblCellMar>
            <w:top w:w="0" w:type="dxa"/>
            <w:left w:w="108" w:type="dxa"/>
            <w:bottom w:w="0" w:type="dxa"/>
            <w:right w:w="108" w:type="dxa"/>
          </w:tblCellMar>
        </w:tblPrEx>
        <w:trPr>
          <w:trHeight w:val="639" w:hRule="atLeast"/>
          <w:jc w:val="center"/>
        </w:trPr>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 w:val="20"/>
                <w:szCs w:val="2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pacing w:val="-20"/>
                <w:kern w:val="0"/>
                <w:sz w:val="20"/>
                <w:szCs w:val="20"/>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重点工作办结率（10分）</w:t>
            </w:r>
          </w:p>
        </w:tc>
        <w:tc>
          <w:tcPr>
            <w:tcW w:w="196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部门（单位）年度重点工作实际完成数与交办或下达数的比率，用以反映部门（单位）对重点工作的办理落实程度。</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重点工作办结率=（重点工作实际完成数/交办或下达数）×100%。（实际得分=办结率*10分）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重点工作是指党委、政府、人大、相关部门交办或下达的工作任务。</w:t>
            </w:r>
          </w:p>
        </w:tc>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2320"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高质高效完成市纪委监委和县委交办、下达的各项工作任务，重点工作办结率100%</w:t>
            </w:r>
            <w:r>
              <w:rPr>
                <w:rFonts w:hint="eastAsia" w:ascii="宋体" w:hAnsi="宋体" w:eastAsia="宋体" w:cs="宋体"/>
                <w:kern w:val="0"/>
                <w:sz w:val="20"/>
                <w:szCs w:val="20"/>
                <w:lang w:eastAsia="zh-CN"/>
              </w:rPr>
              <w:t>。</w:t>
            </w:r>
          </w:p>
        </w:tc>
      </w:tr>
      <w:tr>
        <w:tblPrEx>
          <w:tblCellMar>
            <w:top w:w="0" w:type="dxa"/>
            <w:left w:w="108" w:type="dxa"/>
            <w:bottom w:w="0" w:type="dxa"/>
            <w:right w:w="108" w:type="dxa"/>
          </w:tblCellMar>
        </w:tblPrEx>
        <w:trPr>
          <w:trHeight w:val="639" w:hRule="atLeast"/>
          <w:jc w:val="center"/>
        </w:trPr>
        <w:tc>
          <w:tcPr>
            <w:tcW w:w="694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sz w:val="20"/>
                <w:szCs w:val="20"/>
              </w:rPr>
              <w:t>合      计</w:t>
            </w:r>
          </w:p>
        </w:tc>
        <w:tc>
          <w:tcPr>
            <w:tcW w:w="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i/>
                <w:kern w:val="0"/>
                <w:sz w:val="20"/>
                <w:szCs w:val="20"/>
                <w:lang w:val="en-US" w:eastAsia="zh-CN" w:bidi="ar-SA"/>
              </w:rPr>
            </w:pPr>
            <w:r>
              <w:rPr>
                <w:rFonts w:hint="eastAsia" w:ascii="宋体" w:hAnsi="宋体" w:eastAsia="宋体" w:cs="宋体"/>
                <w:kern w:val="0"/>
                <w:sz w:val="20"/>
                <w:szCs w:val="20"/>
                <w:lang w:val="en-US" w:eastAsia="zh-CN"/>
              </w:rPr>
              <w:t>100</w:t>
            </w:r>
          </w:p>
        </w:tc>
        <w:tc>
          <w:tcPr>
            <w:tcW w:w="2320"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hint="eastAsia" w:ascii="宋体" w:hAnsi="宋体" w:eastAsia="宋体" w:cs="宋体"/>
                <w:kern w:val="0"/>
                <w:sz w:val="20"/>
                <w:szCs w:val="20"/>
              </w:rPr>
            </w:pPr>
          </w:p>
        </w:tc>
      </w:tr>
    </w:tbl>
    <w:p>
      <w:pPr>
        <w:widowControl/>
        <w:shd w:val="clear" w:color="auto" w:fill="FFFFFF"/>
        <w:spacing w:line="580" w:lineRule="exact"/>
        <w:jc w:val="left"/>
        <w:rPr>
          <w:rFonts w:hint="eastAsia" w:ascii="宋体" w:hAnsi="宋体" w:eastAsia="方正仿宋简体" w:cs="宋体"/>
          <w:kern w:val="0"/>
          <w:sz w:val="32"/>
          <w:szCs w:val="32"/>
        </w:rPr>
      </w:pPr>
    </w:p>
    <w:p>
      <w:pPr>
        <w:pStyle w:val="6"/>
        <w:rPr>
          <w:rFonts w:hint="eastAsia" w:ascii="宋体" w:hAnsi="宋体" w:eastAsia="方正仿宋简体" w:cs="宋体"/>
          <w:kern w:val="0"/>
          <w:sz w:val="32"/>
          <w:szCs w:val="32"/>
        </w:rPr>
      </w:pPr>
    </w:p>
    <w:p>
      <w:pPr>
        <w:spacing w:line="620" w:lineRule="exact"/>
        <w:jc w:val="left"/>
        <w:rPr>
          <w:rFonts w:hint="eastAsia"/>
          <w:lang w:val="en-US" w:eastAsia="zh-CN"/>
        </w:rPr>
      </w:pPr>
      <w:r>
        <w:rPr>
          <w:rFonts w:hint="eastAsia" w:ascii="宋体" w:hAnsi="宋体" w:eastAsia="方正黑体_GBK" w:cs="方正黑体_GBK"/>
          <w:bCs/>
          <w:kern w:val="0"/>
          <w:sz w:val="32"/>
          <w:szCs w:val="32"/>
          <w:lang w:val="en-US" w:eastAsia="zh-CN"/>
        </w:rPr>
        <w:t>附件1-2</w:t>
      </w:r>
    </w:p>
    <w:p>
      <w:pPr>
        <w:spacing w:line="620" w:lineRule="exact"/>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202</w:t>
      </w:r>
      <w:r>
        <w:rPr>
          <w:rFonts w:hint="eastAsia" w:ascii="黑体" w:hAnsi="黑体" w:eastAsia="黑体" w:cs="黑体"/>
          <w:color w:val="000000"/>
          <w:kern w:val="0"/>
          <w:sz w:val="36"/>
          <w:szCs w:val="36"/>
          <w:lang w:val="en-US" w:eastAsia="zh-CN"/>
        </w:rPr>
        <w:t>3</w:t>
      </w:r>
      <w:r>
        <w:rPr>
          <w:rFonts w:hint="eastAsia" w:ascii="黑体" w:hAnsi="黑体" w:eastAsia="黑体" w:cs="黑体"/>
          <w:color w:val="000000"/>
          <w:kern w:val="0"/>
          <w:sz w:val="36"/>
          <w:szCs w:val="36"/>
        </w:rPr>
        <w:t>年度安岳县部门整体支出绩效目标完成情况表</w:t>
      </w:r>
    </w:p>
    <w:p>
      <w:pPr>
        <w:pStyle w:val="2"/>
      </w:pPr>
    </w:p>
    <w:tbl>
      <w:tblPr>
        <w:tblStyle w:val="18"/>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76"/>
        <w:gridCol w:w="1314"/>
        <w:gridCol w:w="1596"/>
        <w:gridCol w:w="2084"/>
        <w:gridCol w:w="125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7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部门（单位）名称</w:t>
            </w:r>
          </w:p>
        </w:tc>
        <w:tc>
          <w:tcPr>
            <w:tcW w:w="5970" w:type="dxa"/>
            <w:gridSpan w:val="4"/>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中国共产党安岳县纪律检查委员会</w:t>
            </w:r>
          </w:p>
        </w:tc>
        <w:tc>
          <w:tcPr>
            <w:tcW w:w="125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预算单位</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编码</w:t>
            </w:r>
          </w:p>
        </w:tc>
        <w:tc>
          <w:tcPr>
            <w:tcW w:w="133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7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97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31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预算额(百元)</w:t>
            </w:r>
          </w:p>
        </w:tc>
        <w:tc>
          <w:tcPr>
            <w:tcW w:w="159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执行额(百元)</w:t>
            </w:r>
          </w:p>
        </w:tc>
        <w:tc>
          <w:tcPr>
            <w:tcW w:w="208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当年结转结余额(百元)</w:t>
            </w:r>
          </w:p>
        </w:tc>
        <w:tc>
          <w:tcPr>
            <w:tcW w:w="125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结转结余率%</w:t>
            </w:r>
          </w:p>
        </w:tc>
        <w:tc>
          <w:tcPr>
            <w:tcW w:w="133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31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317760</w:t>
            </w:r>
          </w:p>
        </w:tc>
        <w:tc>
          <w:tcPr>
            <w:tcW w:w="1596"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317760</w:t>
            </w:r>
          </w:p>
        </w:tc>
        <w:tc>
          <w:tcPr>
            <w:tcW w:w="208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50"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3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基本支出</w:t>
            </w:r>
          </w:p>
        </w:tc>
        <w:tc>
          <w:tcPr>
            <w:tcW w:w="131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275368</w:t>
            </w:r>
          </w:p>
        </w:tc>
        <w:tc>
          <w:tcPr>
            <w:tcW w:w="1596"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275368</w:t>
            </w:r>
          </w:p>
        </w:tc>
        <w:tc>
          <w:tcPr>
            <w:tcW w:w="208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50"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33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政策和项目支出</w:t>
            </w:r>
          </w:p>
        </w:tc>
        <w:tc>
          <w:tcPr>
            <w:tcW w:w="131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42392</w:t>
            </w:r>
          </w:p>
        </w:tc>
        <w:tc>
          <w:tcPr>
            <w:tcW w:w="1596"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42392</w:t>
            </w:r>
          </w:p>
        </w:tc>
        <w:tc>
          <w:tcPr>
            <w:tcW w:w="208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0</w:t>
            </w:r>
          </w:p>
        </w:tc>
        <w:tc>
          <w:tcPr>
            <w:tcW w:w="1250"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0</w:t>
            </w:r>
          </w:p>
        </w:tc>
        <w:tc>
          <w:tcPr>
            <w:tcW w:w="133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7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结构</w:t>
            </w:r>
          </w:p>
        </w:tc>
        <w:tc>
          <w:tcPr>
            <w:tcW w:w="97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31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59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一般公共预算安排</w:t>
            </w:r>
          </w:p>
        </w:tc>
        <w:tc>
          <w:tcPr>
            <w:tcW w:w="208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政府性基金预算安排</w:t>
            </w:r>
          </w:p>
        </w:tc>
        <w:tc>
          <w:tcPr>
            <w:tcW w:w="125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国有资本经营预算安排</w:t>
            </w:r>
          </w:p>
        </w:tc>
        <w:tc>
          <w:tcPr>
            <w:tcW w:w="133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预算额(百元)</w:t>
            </w:r>
          </w:p>
        </w:tc>
        <w:tc>
          <w:tcPr>
            <w:tcW w:w="1314" w:type="dxa"/>
            <w:noWrap/>
            <w:vAlign w:val="center"/>
          </w:tcPr>
          <w:p>
            <w:pPr>
              <w:widowControl/>
              <w:spacing w:line="3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317760</w:t>
            </w:r>
          </w:p>
        </w:tc>
        <w:tc>
          <w:tcPr>
            <w:tcW w:w="1596" w:type="dxa"/>
            <w:noWrap/>
            <w:vAlign w:val="center"/>
          </w:tcPr>
          <w:p>
            <w:pPr>
              <w:widowControl/>
              <w:spacing w:line="3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314942</w:t>
            </w:r>
          </w:p>
        </w:tc>
        <w:tc>
          <w:tcPr>
            <w:tcW w:w="2084" w:type="dxa"/>
            <w:noWrap/>
            <w:vAlign w:val="center"/>
          </w:tcPr>
          <w:p>
            <w:pPr>
              <w:widowControl/>
              <w:spacing w:line="3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2818</w:t>
            </w:r>
          </w:p>
        </w:tc>
        <w:tc>
          <w:tcPr>
            <w:tcW w:w="1250"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35"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执行额(百元)</w:t>
            </w:r>
          </w:p>
        </w:tc>
        <w:tc>
          <w:tcPr>
            <w:tcW w:w="1314" w:type="dxa"/>
            <w:noWrap/>
            <w:vAlign w:val="center"/>
          </w:tcPr>
          <w:p>
            <w:pPr>
              <w:widowControl/>
              <w:spacing w:line="3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317760</w:t>
            </w:r>
          </w:p>
        </w:tc>
        <w:tc>
          <w:tcPr>
            <w:tcW w:w="1596" w:type="dxa"/>
            <w:noWrap/>
            <w:vAlign w:val="center"/>
          </w:tcPr>
          <w:p>
            <w:pPr>
              <w:widowControl/>
              <w:spacing w:line="3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314942</w:t>
            </w:r>
          </w:p>
        </w:tc>
        <w:tc>
          <w:tcPr>
            <w:tcW w:w="2084" w:type="dxa"/>
            <w:noWrap/>
            <w:vAlign w:val="center"/>
          </w:tcPr>
          <w:p>
            <w:pPr>
              <w:widowControl/>
              <w:spacing w:line="3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2818</w:t>
            </w:r>
          </w:p>
        </w:tc>
        <w:tc>
          <w:tcPr>
            <w:tcW w:w="1250"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35"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spacing w:line="300" w:lineRule="exact"/>
              <w:jc w:val="center"/>
              <w:rPr>
                <w:rFonts w:hint="eastAsia" w:ascii="宋体" w:hAnsi="宋体" w:eastAsia="宋体" w:cs="宋体"/>
                <w:color w:val="000000"/>
                <w:spacing w:val="-20"/>
                <w:kern w:val="0"/>
                <w:sz w:val="18"/>
                <w:szCs w:val="18"/>
              </w:rPr>
            </w:pPr>
            <w:r>
              <w:rPr>
                <w:rFonts w:hint="eastAsia" w:ascii="宋体" w:hAnsi="宋体" w:eastAsia="宋体" w:cs="宋体"/>
                <w:color w:val="000000"/>
                <w:spacing w:val="-20"/>
                <w:kern w:val="0"/>
                <w:sz w:val="18"/>
                <w:szCs w:val="18"/>
              </w:rPr>
              <w:t>当年结转结余额(百元)</w:t>
            </w:r>
          </w:p>
        </w:tc>
        <w:tc>
          <w:tcPr>
            <w:tcW w:w="1314" w:type="dxa"/>
            <w:noWrap/>
            <w:vAlign w:val="center"/>
          </w:tcPr>
          <w:p>
            <w:pPr>
              <w:widowControl/>
              <w:spacing w:line="3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0</w:t>
            </w:r>
          </w:p>
        </w:tc>
        <w:tc>
          <w:tcPr>
            <w:tcW w:w="1596" w:type="dxa"/>
            <w:noWrap/>
            <w:vAlign w:val="center"/>
          </w:tcPr>
          <w:p>
            <w:pPr>
              <w:widowControl/>
              <w:spacing w:line="3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0</w:t>
            </w:r>
          </w:p>
        </w:tc>
        <w:tc>
          <w:tcPr>
            <w:tcW w:w="2084"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50"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35"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结转结余率%</w:t>
            </w:r>
          </w:p>
        </w:tc>
        <w:tc>
          <w:tcPr>
            <w:tcW w:w="1314" w:type="dxa"/>
            <w:noWrap/>
            <w:vAlign w:val="center"/>
          </w:tcPr>
          <w:p>
            <w:pPr>
              <w:widowControl/>
              <w:spacing w:line="3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0</w:t>
            </w:r>
          </w:p>
        </w:tc>
        <w:tc>
          <w:tcPr>
            <w:tcW w:w="1596" w:type="dxa"/>
            <w:noWrap/>
            <w:vAlign w:val="center"/>
          </w:tcPr>
          <w:p>
            <w:pPr>
              <w:widowControl/>
              <w:spacing w:line="3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0</w:t>
            </w:r>
          </w:p>
        </w:tc>
        <w:tc>
          <w:tcPr>
            <w:tcW w:w="2084"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50"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35"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结转结余变动率%</w:t>
            </w:r>
          </w:p>
        </w:tc>
        <w:tc>
          <w:tcPr>
            <w:tcW w:w="1314"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596"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2084"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50"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335" w:type="dxa"/>
            <w:noWrap/>
            <w:vAlign w:val="center"/>
          </w:tcPr>
          <w:p>
            <w:pPr>
              <w:widowControl/>
              <w:spacing w:line="36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229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w:t>
            </w:r>
          </w:p>
        </w:tc>
        <w:tc>
          <w:tcPr>
            <w:tcW w:w="368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预算总体目标执行结果</w:t>
            </w:r>
          </w:p>
        </w:tc>
        <w:tc>
          <w:tcPr>
            <w:tcW w:w="2585"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预算总体目标与预算总体目标</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2290" w:type="dxa"/>
            <w:gridSpan w:val="2"/>
            <w:noWrap/>
            <w:vAlign w:val="center"/>
          </w:tcPr>
          <w:p>
            <w:pPr>
              <w:spacing w:line="300" w:lineRule="exact"/>
              <w:jc w:val="left"/>
              <w:rPr>
                <w:rFonts w:hint="eastAsia" w:ascii="宋体" w:hAnsi="宋体" w:eastAsia="宋体" w:cs="宋体"/>
                <w:sz w:val="18"/>
                <w:szCs w:val="18"/>
              </w:rPr>
            </w:pPr>
            <w:r>
              <w:rPr>
                <w:rFonts w:hint="eastAsia" w:ascii="宋体" w:hAnsi="宋体" w:eastAsia="宋体" w:cs="宋体"/>
                <w:sz w:val="18"/>
                <w:szCs w:val="18"/>
              </w:rPr>
              <w:t>通过履行纪律检查委员会及监察委员会的职能职责，主动担负管党治党政治责任，持之以恒推进正风肃纪，一体推进“三不”建设，以铁的纪律推动全县党员干部纪律规矩意识明显增强、担当作为积极主动、党风政风不断优化、政治生态稳中向好，群众满意度获得感不断提升。</w:t>
            </w:r>
          </w:p>
        </w:tc>
        <w:tc>
          <w:tcPr>
            <w:tcW w:w="3680" w:type="dxa"/>
            <w:gridSpan w:val="2"/>
            <w:noWrap/>
            <w:vAlign w:val="center"/>
          </w:tcPr>
          <w:p>
            <w:pPr>
              <w:spacing w:line="300" w:lineRule="exact"/>
              <w:jc w:val="left"/>
              <w:rPr>
                <w:rFonts w:hint="eastAsia" w:ascii="宋体" w:hAnsi="宋体" w:eastAsia="宋体" w:cs="宋体"/>
                <w:sz w:val="18"/>
                <w:szCs w:val="18"/>
              </w:rPr>
            </w:pPr>
            <w:r>
              <w:rPr>
                <w:rFonts w:hint="eastAsia" w:ascii="宋体" w:hAnsi="宋体" w:eastAsia="宋体" w:cs="宋体"/>
                <w:sz w:val="18"/>
                <w:szCs w:val="18"/>
                <w:lang w:eastAsia="zh-CN"/>
              </w:rPr>
              <w:t>在市纪委监委和县委的坚强领导下，全县</w:t>
            </w:r>
            <w:r>
              <w:rPr>
                <w:rFonts w:hint="eastAsia" w:ascii="宋体" w:hAnsi="宋体" w:eastAsia="宋体" w:cs="宋体"/>
                <w:sz w:val="18"/>
                <w:szCs w:val="18"/>
              </w:rPr>
              <w:t>纪委监</w:t>
            </w:r>
            <w:r>
              <w:rPr>
                <w:rFonts w:hint="eastAsia" w:ascii="宋体" w:hAnsi="宋体" w:eastAsia="宋体" w:cs="宋体"/>
                <w:sz w:val="18"/>
                <w:szCs w:val="18"/>
                <w:lang w:eastAsia="zh-CN"/>
              </w:rPr>
              <w:t>委系统，</w:t>
            </w:r>
            <w:r>
              <w:rPr>
                <w:rFonts w:hint="eastAsia" w:ascii="宋体" w:hAnsi="宋体" w:eastAsia="宋体" w:cs="宋体"/>
                <w:sz w:val="18"/>
                <w:szCs w:val="18"/>
              </w:rPr>
              <w:t>深入学习贯彻党的二十大和中央、省市纪委全会精神，围绕市委“突破”主题和县委“1324”战略部署，</w:t>
            </w:r>
            <w:r>
              <w:rPr>
                <w:rFonts w:hint="eastAsia" w:ascii="宋体" w:hAnsi="宋体" w:eastAsia="宋体" w:cs="宋体"/>
                <w:sz w:val="18"/>
                <w:szCs w:val="18"/>
                <w:lang w:eastAsia="zh-CN"/>
              </w:rPr>
              <w:t>担当</w:t>
            </w:r>
            <w:r>
              <w:rPr>
                <w:rFonts w:hint="eastAsia" w:ascii="宋体" w:hAnsi="宋体" w:eastAsia="宋体" w:cs="宋体"/>
                <w:sz w:val="18"/>
                <w:szCs w:val="18"/>
              </w:rPr>
              <w:t>使命</w:t>
            </w:r>
            <w:r>
              <w:rPr>
                <w:rFonts w:hint="eastAsia" w:ascii="宋体" w:hAnsi="宋体" w:eastAsia="宋体" w:cs="宋体"/>
                <w:sz w:val="18"/>
                <w:szCs w:val="18"/>
                <w:lang w:eastAsia="zh-CN"/>
              </w:rPr>
              <w:t>、</w:t>
            </w:r>
            <w:r>
              <w:rPr>
                <w:rFonts w:hint="eastAsia" w:ascii="宋体" w:hAnsi="宋体" w:eastAsia="宋体" w:cs="宋体"/>
                <w:sz w:val="18"/>
                <w:szCs w:val="18"/>
              </w:rPr>
              <w:t>忠诚履责、守正创新，推动党风廉政建设和反腐败斗争取得</w:t>
            </w:r>
            <w:r>
              <w:rPr>
                <w:rFonts w:hint="eastAsia" w:ascii="宋体" w:hAnsi="宋体" w:eastAsia="宋体" w:cs="宋体"/>
                <w:sz w:val="18"/>
                <w:szCs w:val="18"/>
                <w:lang w:eastAsia="zh-CN"/>
              </w:rPr>
              <w:t>新突破新成效，</w:t>
            </w:r>
            <w:r>
              <w:rPr>
                <w:rFonts w:hint="eastAsia" w:ascii="宋体" w:hAnsi="宋体" w:eastAsia="宋体" w:cs="宋体"/>
                <w:sz w:val="18"/>
                <w:szCs w:val="18"/>
              </w:rPr>
              <w:t>为</w:t>
            </w:r>
            <w:r>
              <w:rPr>
                <w:rFonts w:hint="eastAsia" w:ascii="宋体" w:hAnsi="宋体" w:eastAsia="宋体" w:cs="宋体"/>
                <w:sz w:val="18"/>
                <w:szCs w:val="18"/>
                <w:lang w:eastAsia="zh-CN"/>
              </w:rPr>
              <w:t>安岳</w:t>
            </w:r>
            <w:r>
              <w:rPr>
                <w:rFonts w:hint="eastAsia" w:ascii="宋体" w:hAnsi="宋体" w:eastAsia="宋体" w:cs="宋体"/>
                <w:sz w:val="18"/>
                <w:szCs w:val="18"/>
              </w:rPr>
              <w:t>现代化建设提供了坚强保障。</w:t>
            </w:r>
          </w:p>
          <w:p>
            <w:pPr>
              <w:spacing w:line="300" w:lineRule="exact"/>
              <w:jc w:val="center"/>
              <w:rPr>
                <w:rFonts w:hint="eastAsia" w:ascii="宋体" w:hAnsi="宋体" w:eastAsia="宋体" w:cs="宋体"/>
                <w:sz w:val="18"/>
                <w:szCs w:val="18"/>
              </w:rPr>
            </w:pPr>
          </w:p>
        </w:tc>
        <w:tc>
          <w:tcPr>
            <w:tcW w:w="2585" w:type="dxa"/>
            <w:gridSpan w:val="2"/>
            <w:noWrap/>
            <w:vAlign w:val="center"/>
          </w:tcPr>
          <w:p>
            <w:pPr>
              <w:widowControl/>
              <w:spacing w:line="480" w:lineRule="exact"/>
              <w:jc w:val="center"/>
              <w:rPr>
                <w:rFonts w:hint="eastAsia" w:ascii="宋体" w:hAnsi="宋体" w:eastAsia="宋体" w:cs="宋体"/>
                <w:color w:val="000000"/>
                <w:kern w:val="0"/>
                <w:sz w:val="18"/>
                <w:szCs w:val="18"/>
              </w:rPr>
            </w:pPr>
          </w:p>
          <w:p>
            <w:pPr>
              <w:widowControl/>
              <w:spacing w:line="4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p>
            <w:pPr>
              <w:widowControl/>
              <w:spacing w:line="480" w:lineRule="exact"/>
              <w:jc w:val="center"/>
              <w:rPr>
                <w:rFonts w:hint="eastAsia" w:ascii="宋体" w:hAnsi="宋体" w:eastAsia="宋体" w:cs="宋体"/>
                <w:color w:val="000000"/>
                <w:kern w:val="0"/>
                <w:sz w:val="18"/>
                <w:szCs w:val="18"/>
              </w:rPr>
            </w:pPr>
          </w:p>
          <w:p>
            <w:pPr>
              <w:spacing w:line="480" w:lineRule="exact"/>
              <w:jc w:val="center"/>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noWrap/>
            <w:vAlign w:val="center"/>
          </w:tcPr>
          <w:p>
            <w:pPr>
              <w:widowControl/>
              <w:jc w:val="center"/>
              <w:rPr>
                <w:rFonts w:hint="eastAsia" w:ascii="宋体" w:hAnsi="宋体" w:eastAsia="宋体" w:cs="宋体"/>
                <w:color w:val="000000"/>
                <w:kern w:val="0"/>
                <w:sz w:val="18"/>
                <w:szCs w:val="18"/>
              </w:rPr>
            </w:pP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年度绩效指标</w:t>
            </w:r>
          </w:p>
        </w:tc>
        <w:tc>
          <w:tcPr>
            <w:tcW w:w="97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31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596"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208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预算指标值(包含数字及文字描述)</w:t>
            </w:r>
          </w:p>
        </w:tc>
        <w:tc>
          <w:tcPr>
            <w:tcW w:w="125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预算指标值执行结果(包含数字及文字描述)</w:t>
            </w:r>
          </w:p>
        </w:tc>
        <w:tc>
          <w:tcPr>
            <w:tcW w:w="133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314" w:type="dxa"/>
            <w:vMerge w:val="restart"/>
            <w:noWrap/>
            <w:vAlign w:val="center"/>
          </w:tcPr>
          <w:p>
            <w:pPr>
              <w:widowControl/>
              <w:spacing w:line="3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p>
            <w:pPr>
              <w:widowControl/>
              <w:spacing w:line="3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596"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lang w:eastAsia="zh-CN"/>
              </w:rPr>
            </w:pPr>
            <w:r>
              <w:rPr>
                <w:rFonts w:ascii="宋体" w:hAnsi="宋体" w:eastAsia="宋体" w:cs="宋体"/>
                <w:i w:val="0"/>
                <w:iCs w:val="0"/>
                <w:color w:val="000000"/>
                <w:kern w:val="0"/>
                <w:sz w:val="18"/>
                <w:szCs w:val="18"/>
                <w:u w:val="none"/>
                <w:lang w:val="en-US" w:eastAsia="zh-CN" w:bidi="ar"/>
              </w:rPr>
              <w:t>办理移送起诉案件数</w:t>
            </w:r>
          </w:p>
        </w:tc>
        <w:tc>
          <w:tcPr>
            <w:tcW w:w="2084"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≥8案件数</w:t>
            </w:r>
          </w:p>
        </w:tc>
        <w:tc>
          <w:tcPr>
            <w:tcW w:w="1250" w:type="dxa"/>
            <w:noWrap/>
            <w:vAlign w:val="center"/>
          </w:tcPr>
          <w:p>
            <w:pPr>
              <w:keepNext w:val="0"/>
              <w:keepLines w:val="0"/>
              <w:widowControl/>
              <w:suppressLineNumbers w:val="0"/>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335" w:type="dxa"/>
            <w:noWrap/>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vMerge w:val="continue"/>
            <w:noWrap w:val="0"/>
            <w:vAlign w:val="center"/>
          </w:tcPr>
          <w:p>
            <w:pPr>
              <w:widowControl/>
              <w:spacing w:line="380" w:lineRule="exact"/>
              <w:jc w:val="center"/>
              <w:rPr>
                <w:rFonts w:hint="eastAsia" w:ascii="宋体" w:hAnsi="宋体" w:eastAsia="宋体" w:cs="宋体"/>
                <w:color w:val="000000"/>
                <w:kern w:val="0"/>
                <w:sz w:val="18"/>
                <w:szCs w:val="18"/>
              </w:rPr>
            </w:pPr>
          </w:p>
        </w:tc>
        <w:tc>
          <w:tcPr>
            <w:tcW w:w="1596"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查办要案件数</w:t>
            </w:r>
          </w:p>
        </w:tc>
        <w:tc>
          <w:tcPr>
            <w:tcW w:w="2084"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≥30案件数</w:t>
            </w:r>
          </w:p>
        </w:tc>
        <w:tc>
          <w:tcPr>
            <w:tcW w:w="1250" w:type="dxa"/>
            <w:noWrap/>
            <w:vAlign w:val="center"/>
          </w:tcPr>
          <w:p>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1335" w:type="dxa"/>
            <w:noWrap/>
            <w:vAlign w:val="center"/>
          </w:tcPr>
          <w:p>
            <w:pPr>
              <w:widowControl/>
              <w:spacing w:line="3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vMerge w:val="continue"/>
            <w:noWrap w:val="0"/>
            <w:vAlign w:val="center"/>
          </w:tcPr>
          <w:p>
            <w:pPr>
              <w:widowControl/>
              <w:spacing w:line="380" w:lineRule="exact"/>
              <w:jc w:val="center"/>
              <w:rPr>
                <w:rFonts w:hint="eastAsia" w:ascii="宋体" w:hAnsi="宋体" w:eastAsia="宋体" w:cs="宋体"/>
                <w:color w:val="000000"/>
                <w:kern w:val="0"/>
                <w:sz w:val="18"/>
                <w:szCs w:val="18"/>
              </w:rPr>
            </w:pPr>
          </w:p>
        </w:tc>
        <w:tc>
          <w:tcPr>
            <w:tcW w:w="1596"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集中巡察轮次</w:t>
            </w:r>
          </w:p>
        </w:tc>
        <w:tc>
          <w:tcPr>
            <w:tcW w:w="2084"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≤3次/年</w:t>
            </w:r>
          </w:p>
        </w:tc>
        <w:tc>
          <w:tcPr>
            <w:tcW w:w="1250" w:type="dxa"/>
            <w:noWrap/>
            <w:vAlign w:val="center"/>
          </w:tcPr>
          <w:p>
            <w:pPr>
              <w:keepNext w:val="0"/>
              <w:keepLines w:val="0"/>
              <w:widowControl/>
              <w:suppressLineNumbers w:val="0"/>
              <w:jc w:val="left"/>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335" w:type="dxa"/>
            <w:noWrap/>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vMerge w:val="continue"/>
            <w:noWrap w:val="0"/>
            <w:vAlign w:val="center"/>
          </w:tcPr>
          <w:p>
            <w:pPr>
              <w:widowControl/>
              <w:spacing w:line="380" w:lineRule="exact"/>
              <w:jc w:val="center"/>
              <w:rPr>
                <w:rFonts w:hint="eastAsia" w:ascii="宋体" w:hAnsi="宋体" w:eastAsia="宋体" w:cs="宋体"/>
                <w:color w:val="000000"/>
                <w:kern w:val="0"/>
                <w:sz w:val="18"/>
                <w:szCs w:val="18"/>
              </w:rPr>
            </w:pPr>
          </w:p>
        </w:tc>
        <w:tc>
          <w:tcPr>
            <w:tcW w:w="1596"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全年巡察单位（部门）个数</w:t>
            </w:r>
          </w:p>
        </w:tc>
        <w:tc>
          <w:tcPr>
            <w:tcW w:w="2084"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≥30个</w:t>
            </w:r>
          </w:p>
        </w:tc>
        <w:tc>
          <w:tcPr>
            <w:tcW w:w="1250" w:type="dxa"/>
            <w:noWrap/>
            <w:vAlign w:val="center"/>
          </w:tcPr>
          <w:p>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1335" w:type="dxa"/>
            <w:noWrap/>
            <w:vAlign w:val="center"/>
          </w:tcPr>
          <w:p>
            <w:pPr>
              <w:widowControl/>
              <w:spacing w:line="3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vMerge w:val="continue"/>
            <w:noWrap w:val="0"/>
            <w:vAlign w:val="center"/>
          </w:tcPr>
          <w:p>
            <w:pPr>
              <w:widowControl/>
              <w:spacing w:line="380" w:lineRule="exact"/>
              <w:jc w:val="center"/>
              <w:rPr>
                <w:rFonts w:hint="eastAsia" w:ascii="宋体" w:hAnsi="宋体" w:eastAsia="宋体" w:cs="宋体"/>
                <w:color w:val="000000"/>
                <w:kern w:val="0"/>
                <w:sz w:val="18"/>
                <w:szCs w:val="18"/>
              </w:rPr>
            </w:pPr>
          </w:p>
        </w:tc>
        <w:tc>
          <w:tcPr>
            <w:tcW w:w="1596"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市委统筹、提级交叉巡察轮次</w:t>
            </w:r>
          </w:p>
        </w:tc>
        <w:tc>
          <w:tcPr>
            <w:tcW w:w="2084"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≥1次/年</w:t>
            </w:r>
          </w:p>
        </w:tc>
        <w:tc>
          <w:tcPr>
            <w:tcW w:w="1250" w:type="dxa"/>
            <w:noWrap/>
            <w:vAlign w:val="center"/>
          </w:tcPr>
          <w:p>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335" w:type="dxa"/>
            <w:noWrap/>
            <w:vAlign w:val="center"/>
          </w:tcPr>
          <w:p>
            <w:pPr>
              <w:keepNext w:val="0"/>
              <w:keepLines w:val="0"/>
              <w:widowControl/>
              <w:suppressLineNumbers w:val="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vMerge w:val="continue"/>
            <w:noWrap w:val="0"/>
            <w:vAlign w:val="center"/>
          </w:tcPr>
          <w:p>
            <w:pPr>
              <w:widowControl/>
              <w:spacing w:line="380" w:lineRule="exact"/>
              <w:jc w:val="center"/>
              <w:rPr>
                <w:rFonts w:hint="eastAsia" w:ascii="宋体" w:hAnsi="宋体" w:eastAsia="宋体" w:cs="宋体"/>
                <w:color w:val="000000"/>
                <w:kern w:val="0"/>
                <w:sz w:val="18"/>
                <w:szCs w:val="18"/>
              </w:rPr>
            </w:pPr>
          </w:p>
        </w:tc>
        <w:tc>
          <w:tcPr>
            <w:tcW w:w="1596"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一般违纪违法立案审查调查案件数</w:t>
            </w:r>
          </w:p>
        </w:tc>
        <w:tc>
          <w:tcPr>
            <w:tcW w:w="2084"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≥360案件数</w:t>
            </w:r>
          </w:p>
        </w:tc>
        <w:tc>
          <w:tcPr>
            <w:tcW w:w="1250" w:type="dxa"/>
            <w:noWrap/>
            <w:vAlign w:val="center"/>
          </w:tcPr>
          <w:p>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366</w:t>
            </w:r>
          </w:p>
        </w:tc>
        <w:tc>
          <w:tcPr>
            <w:tcW w:w="1335"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noWrap w:val="0"/>
            <w:vAlign w:val="center"/>
          </w:tcPr>
          <w:p>
            <w:pPr>
              <w:widowControl/>
              <w:spacing w:line="3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质量指标</w:t>
            </w:r>
          </w:p>
        </w:tc>
        <w:tc>
          <w:tcPr>
            <w:tcW w:w="1596" w:type="dxa"/>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日常及专项督查反馈问题整改完成情况</w:t>
            </w:r>
          </w:p>
        </w:tc>
        <w:tc>
          <w:tcPr>
            <w:tcW w:w="2084" w:type="dxa"/>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定性</w:t>
            </w:r>
          </w:p>
        </w:tc>
        <w:tc>
          <w:tcPr>
            <w:tcW w:w="1250" w:type="dxa"/>
            <w:noWrap/>
            <w:vAlign w:val="center"/>
          </w:tcPr>
          <w:p>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好</w:t>
            </w:r>
          </w:p>
        </w:tc>
        <w:tc>
          <w:tcPr>
            <w:tcW w:w="1335"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noWrap/>
            <w:vAlign w:val="center"/>
          </w:tcPr>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w:t>
            </w:r>
          </w:p>
          <w:p>
            <w:pPr>
              <w:widowControl/>
              <w:spacing w:line="30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596"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任务完成时效性</w:t>
            </w:r>
          </w:p>
        </w:tc>
        <w:tc>
          <w:tcPr>
            <w:tcW w:w="2084"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≥90%</w:t>
            </w:r>
          </w:p>
        </w:tc>
        <w:tc>
          <w:tcPr>
            <w:tcW w:w="1250" w:type="dxa"/>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335" w:type="dxa"/>
            <w:noWrap/>
            <w:vAlign w:val="center"/>
          </w:tcPr>
          <w:p>
            <w:pPr>
              <w:widowControl/>
              <w:spacing w:line="3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成本</w:t>
            </w:r>
          </w:p>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w:t>
            </w:r>
          </w:p>
        </w:tc>
        <w:tc>
          <w:tcPr>
            <w:tcW w:w="1596" w:type="dxa"/>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经济成本指标</w:t>
            </w:r>
          </w:p>
        </w:tc>
        <w:tc>
          <w:tcPr>
            <w:tcW w:w="2084" w:type="dxa"/>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预算成本节约率</w:t>
            </w:r>
          </w:p>
        </w:tc>
        <w:tc>
          <w:tcPr>
            <w:tcW w:w="1250" w:type="dxa"/>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w:t>
            </w:r>
          </w:p>
        </w:tc>
        <w:tc>
          <w:tcPr>
            <w:tcW w:w="1335" w:type="dxa"/>
            <w:noWrap/>
            <w:vAlign w:val="center"/>
          </w:tcPr>
          <w:p>
            <w:pPr>
              <w:widowControl/>
              <w:spacing w:line="3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restart"/>
            <w:noWrap w:val="0"/>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效益</w:t>
            </w:r>
          </w:p>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w:t>
            </w:r>
          </w:p>
        </w:tc>
        <w:tc>
          <w:tcPr>
            <w:tcW w:w="1314"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经济效益指标</w:t>
            </w:r>
          </w:p>
        </w:tc>
        <w:tc>
          <w:tcPr>
            <w:tcW w:w="1596" w:type="dxa"/>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清退追缴违纪违法款</w:t>
            </w:r>
          </w:p>
        </w:tc>
        <w:tc>
          <w:tcPr>
            <w:tcW w:w="2084" w:type="dxa"/>
            <w:noWrap/>
            <w:vAlign w:val="center"/>
          </w:tcPr>
          <w:p>
            <w:pPr>
              <w:keepNext w:val="0"/>
              <w:keepLines w:val="0"/>
              <w:widowControl/>
              <w:suppressLineNumbers w:val="0"/>
              <w:jc w:val="left"/>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≥500万元</w:t>
            </w:r>
          </w:p>
        </w:tc>
        <w:tc>
          <w:tcPr>
            <w:tcW w:w="1250" w:type="dxa"/>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918.4</w:t>
            </w:r>
          </w:p>
        </w:tc>
        <w:tc>
          <w:tcPr>
            <w:tcW w:w="1335" w:type="dxa"/>
            <w:noWrap/>
            <w:vAlign w:val="center"/>
          </w:tcPr>
          <w:p>
            <w:pPr>
              <w:widowControl/>
              <w:spacing w:line="3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社会效益指标</w:t>
            </w:r>
          </w:p>
        </w:tc>
        <w:tc>
          <w:tcPr>
            <w:tcW w:w="1596"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营造风清气正的政治生态环境</w:t>
            </w:r>
          </w:p>
        </w:tc>
        <w:tc>
          <w:tcPr>
            <w:tcW w:w="2084"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定性</w:t>
            </w:r>
          </w:p>
        </w:tc>
        <w:tc>
          <w:tcPr>
            <w:tcW w:w="1250" w:type="dxa"/>
            <w:noWrap/>
            <w:vAlign w:val="center"/>
          </w:tcPr>
          <w:p>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良好</w:t>
            </w:r>
          </w:p>
        </w:tc>
        <w:tc>
          <w:tcPr>
            <w:tcW w:w="1335"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vMerge w:val="continue"/>
            <w:noWrap w:val="0"/>
            <w:vAlign w:val="center"/>
          </w:tcPr>
          <w:p>
            <w:pPr>
              <w:widowControl/>
              <w:jc w:val="center"/>
              <w:rPr>
                <w:rFonts w:hint="eastAsia" w:ascii="宋体" w:hAnsi="宋体" w:eastAsia="宋体" w:cs="宋体"/>
                <w:color w:val="000000"/>
                <w:kern w:val="0"/>
                <w:sz w:val="18"/>
                <w:szCs w:val="18"/>
              </w:rPr>
            </w:pPr>
          </w:p>
        </w:tc>
        <w:tc>
          <w:tcPr>
            <w:tcW w:w="1314"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可持续影响指标</w:t>
            </w:r>
          </w:p>
        </w:tc>
        <w:tc>
          <w:tcPr>
            <w:tcW w:w="1596"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党风廉政建设和反腐败工作影响力</w:t>
            </w:r>
          </w:p>
        </w:tc>
        <w:tc>
          <w:tcPr>
            <w:tcW w:w="2084"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定性</w:t>
            </w:r>
          </w:p>
        </w:tc>
        <w:tc>
          <w:tcPr>
            <w:tcW w:w="1250" w:type="dxa"/>
            <w:noWrap/>
            <w:vAlign w:val="center"/>
          </w:tcPr>
          <w:p>
            <w:pPr>
              <w:widowControl/>
              <w:spacing w:line="380" w:lineRule="exact"/>
              <w:jc w:val="both"/>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提高</w:t>
            </w:r>
          </w:p>
        </w:tc>
        <w:tc>
          <w:tcPr>
            <w:tcW w:w="1335"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70" w:type="dxa"/>
            <w:vMerge w:val="continue"/>
            <w:noWrap w:val="0"/>
            <w:vAlign w:val="center"/>
          </w:tcPr>
          <w:p>
            <w:pPr>
              <w:widowControl/>
              <w:jc w:val="center"/>
              <w:rPr>
                <w:rFonts w:hint="eastAsia" w:ascii="宋体" w:hAnsi="宋体" w:eastAsia="宋体" w:cs="宋体"/>
                <w:color w:val="000000"/>
                <w:kern w:val="0"/>
                <w:sz w:val="18"/>
                <w:szCs w:val="18"/>
              </w:rPr>
            </w:pPr>
          </w:p>
        </w:tc>
        <w:tc>
          <w:tcPr>
            <w:tcW w:w="976"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满意度</w:t>
            </w:r>
          </w:p>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指标</w:t>
            </w:r>
          </w:p>
        </w:tc>
        <w:tc>
          <w:tcPr>
            <w:tcW w:w="1314" w:type="dxa"/>
            <w:noWrap/>
            <w:vAlign w:val="center"/>
          </w:tcPr>
          <w:p>
            <w:pPr>
              <w:keepNext w:val="0"/>
              <w:keepLines w:val="0"/>
              <w:widowControl/>
              <w:suppressLineNumbers w:val="0"/>
              <w:jc w:val="left"/>
              <w:textAlignment w:val="center"/>
              <w:rPr>
                <w:rFonts w:hint="eastAsia" w:ascii="宋体" w:hAnsi="宋体" w:eastAsia="宋体" w:cs="宋体"/>
                <w:color w:val="000000"/>
                <w:kern w:val="0"/>
                <w:sz w:val="18"/>
                <w:szCs w:val="18"/>
              </w:rPr>
            </w:pPr>
            <w:r>
              <w:rPr>
                <w:rFonts w:ascii="宋体" w:hAnsi="宋体" w:eastAsia="宋体" w:cs="宋体"/>
                <w:i w:val="0"/>
                <w:iCs w:val="0"/>
                <w:color w:val="000000"/>
                <w:kern w:val="0"/>
                <w:sz w:val="18"/>
                <w:szCs w:val="18"/>
                <w:u w:val="none"/>
                <w:lang w:val="en-US" w:eastAsia="zh-CN" w:bidi="ar"/>
              </w:rPr>
              <w:t>服务对象满意度指标</w:t>
            </w:r>
          </w:p>
        </w:tc>
        <w:tc>
          <w:tcPr>
            <w:tcW w:w="1596"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人民群众满意度</w:t>
            </w:r>
          </w:p>
        </w:tc>
        <w:tc>
          <w:tcPr>
            <w:tcW w:w="2084" w:type="dxa"/>
            <w:noWrap/>
            <w:vAlign w:val="center"/>
          </w:tcPr>
          <w:p>
            <w:pPr>
              <w:keepNext w:val="0"/>
              <w:keepLines w:val="0"/>
              <w:widowControl/>
              <w:suppressLineNumbers w:val="0"/>
              <w:jc w:val="left"/>
              <w:textAlignment w:val="center"/>
              <w:rPr>
                <w:rFonts w:hint="eastAsia" w:ascii="宋体" w:hAnsi="宋体" w:eastAsia="宋体" w:cs="宋体"/>
                <w:sz w:val="18"/>
                <w:szCs w:val="18"/>
              </w:rPr>
            </w:pPr>
            <w:r>
              <w:rPr>
                <w:rFonts w:ascii="宋体" w:hAnsi="宋体" w:eastAsia="宋体" w:cs="宋体"/>
                <w:i w:val="0"/>
                <w:iCs w:val="0"/>
                <w:color w:val="000000"/>
                <w:kern w:val="0"/>
                <w:sz w:val="18"/>
                <w:szCs w:val="18"/>
                <w:u w:val="none"/>
                <w:lang w:val="en-US" w:eastAsia="zh-CN" w:bidi="ar"/>
              </w:rPr>
              <w:t>≥95%</w:t>
            </w:r>
          </w:p>
        </w:tc>
        <w:tc>
          <w:tcPr>
            <w:tcW w:w="1250" w:type="dxa"/>
            <w:noWrap/>
            <w:vAlign w:val="center"/>
          </w:tcPr>
          <w:p>
            <w:pPr>
              <w:keepNext w:val="0"/>
              <w:keepLines w:val="0"/>
              <w:widowControl/>
              <w:suppressLineNumbers w:val="0"/>
              <w:jc w:val="left"/>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95</w:t>
            </w:r>
          </w:p>
        </w:tc>
        <w:tc>
          <w:tcPr>
            <w:tcW w:w="1335" w:type="dxa"/>
            <w:noWrap/>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无</w:t>
            </w:r>
          </w:p>
        </w:tc>
      </w:tr>
    </w:tbl>
    <w:p>
      <w:pPr>
        <w:spacing w:line="580" w:lineRule="exact"/>
        <w:jc w:val="both"/>
        <w:rPr>
          <w:rFonts w:hint="eastAsia" w:hAnsi="Calibri" w:cs="仿宋"/>
          <w:sz w:val="32"/>
          <w:szCs w:val="32"/>
          <w:lang w:val="en-US" w:eastAsia="zh-CN"/>
        </w:rPr>
      </w:pPr>
    </w:p>
    <w:p>
      <w:pPr>
        <w:spacing w:line="580" w:lineRule="exact"/>
        <w:jc w:val="both"/>
        <w:rPr>
          <w:rFonts w:hint="eastAsia" w:hAnsi="Calibri" w:cs="仿宋"/>
          <w:sz w:val="32"/>
          <w:szCs w:val="32"/>
          <w:lang w:val="en-US" w:eastAsia="zh-CN"/>
        </w:rPr>
      </w:pPr>
    </w:p>
    <w:p>
      <w:pPr>
        <w:spacing w:line="580" w:lineRule="exact"/>
        <w:jc w:val="both"/>
        <w:rPr>
          <w:rFonts w:hint="eastAsia" w:hAnsi="Calibri" w:cs="仿宋"/>
          <w:sz w:val="32"/>
          <w:szCs w:val="32"/>
          <w:lang w:val="en-US" w:eastAsia="zh-CN"/>
        </w:rPr>
      </w:pPr>
    </w:p>
    <w:p>
      <w:pPr>
        <w:spacing w:line="580" w:lineRule="exact"/>
        <w:jc w:val="both"/>
        <w:rPr>
          <w:rFonts w:hint="eastAsia" w:hAnsi="Calibri" w:cs="仿宋"/>
          <w:sz w:val="32"/>
          <w:szCs w:val="32"/>
          <w:lang w:val="en-US" w:eastAsia="zh-CN"/>
        </w:rPr>
      </w:pPr>
    </w:p>
    <w:p>
      <w:pPr>
        <w:spacing w:line="580" w:lineRule="exact"/>
        <w:jc w:val="both"/>
        <w:rPr>
          <w:rFonts w:hint="eastAsia" w:hAnsi="Calibri" w:cs="仿宋"/>
          <w:sz w:val="32"/>
          <w:szCs w:val="32"/>
          <w:lang w:val="en-US" w:eastAsia="zh-CN"/>
        </w:rPr>
      </w:pPr>
    </w:p>
    <w:p>
      <w:pPr>
        <w:spacing w:line="660" w:lineRule="exact"/>
        <w:jc w:val="left"/>
        <w:outlineLvl w:val="9"/>
        <w:rPr>
          <w:rFonts w:hint="eastAsia" w:hAnsi="Calibri" w:cs="仿宋"/>
          <w:sz w:val="32"/>
          <w:szCs w:val="32"/>
          <w:lang w:val="en-US" w:eastAsia="zh-CN"/>
        </w:rPr>
      </w:pPr>
    </w:p>
    <w:p>
      <w:pPr>
        <w:spacing w:line="660" w:lineRule="exact"/>
        <w:jc w:val="left"/>
        <w:outlineLvl w:val="9"/>
        <w:rPr>
          <w:rFonts w:hint="eastAsia" w:ascii="黑体" w:hAnsi="黑体" w:eastAsia="黑体" w:cs="黑体"/>
          <w:sz w:val="32"/>
          <w:szCs w:val="32"/>
          <w:lang w:val="en-US" w:eastAsia="zh-CN"/>
        </w:rPr>
      </w:pPr>
    </w:p>
    <w:p>
      <w:pPr>
        <w:spacing w:line="660" w:lineRule="exact"/>
        <w:jc w:val="left"/>
        <w:outlineLvl w:val="9"/>
        <w:rPr>
          <w:rFonts w:hint="eastAsia" w:ascii="黑体" w:hAnsi="黑体" w:eastAsia="黑体" w:cs="黑体"/>
          <w:sz w:val="32"/>
          <w:szCs w:val="32"/>
          <w:lang w:val="en-US" w:eastAsia="zh-CN"/>
        </w:rPr>
      </w:pPr>
    </w:p>
    <w:p>
      <w:pPr>
        <w:spacing w:line="660" w:lineRule="exact"/>
        <w:jc w:val="left"/>
        <w:outlineLvl w:val="1"/>
        <w:rPr>
          <w:rFonts w:hint="eastAsia" w:ascii="黑体" w:hAnsi="黑体" w:eastAsia="黑体" w:cs="黑体"/>
          <w:sz w:val="32"/>
          <w:szCs w:val="32"/>
          <w:lang w:val="en-US" w:eastAsia="zh-CN"/>
        </w:rPr>
      </w:pPr>
      <w:bookmarkStart w:id="64" w:name="_Toc3741"/>
      <w:r>
        <w:rPr>
          <w:rFonts w:hint="eastAsia" w:ascii="黑体" w:hAnsi="黑体" w:eastAsia="黑体" w:cs="黑体"/>
          <w:sz w:val="32"/>
          <w:szCs w:val="32"/>
          <w:lang w:val="en-US" w:eastAsia="zh-CN"/>
        </w:rPr>
        <w:t>附件2</w:t>
      </w:r>
      <w:bookmarkEnd w:id="64"/>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年度项目支出绩效自评报告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w:t>
      </w:r>
      <w:r>
        <w:rPr>
          <w:rFonts w:hint="eastAsia" w:ascii="宋体" w:hAnsi="宋体" w:eastAsia="方正楷体_GBK" w:cs="方正楷体_GBK"/>
          <w:b/>
          <w:bCs/>
          <w:sz w:val="32"/>
          <w:szCs w:val="32"/>
          <w:lang w:val="en-US" w:eastAsia="zh-CN"/>
        </w:rPr>
        <w:t>县</w:t>
      </w:r>
      <w:r>
        <w:rPr>
          <w:rFonts w:hint="eastAsia" w:ascii="宋体" w:hAnsi="宋体" w:eastAsia="方正楷体_GBK" w:cs="方正楷体_GBK"/>
          <w:b/>
          <w:bCs/>
          <w:sz w:val="32"/>
          <w:szCs w:val="32"/>
        </w:rPr>
        <w:t>纪委办案专项经费）</w:t>
      </w:r>
    </w:p>
    <w:p>
      <w:pPr>
        <w:spacing w:line="580" w:lineRule="exact"/>
        <w:jc w:val="center"/>
        <w:rPr>
          <w:rFonts w:ascii="宋体" w:hAnsi="宋体" w:eastAsia="方正楷体简体"/>
          <w:b/>
          <w:sz w:val="32"/>
          <w:szCs w:val="32"/>
        </w:rPr>
      </w:pPr>
    </w:p>
    <w:p>
      <w:pPr>
        <w:spacing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一、项目基本情况</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（一）概况</w:t>
      </w:r>
    </w:p>
    <w:p>
      <w:pPr>
        <w:pStyle w:val="6"/>
        <w:spacing w:after="0" w:line="590" w:lineRule="exact"/>
        <w:ind w:firstLine="643" w:firstLineChars="200"/>
        <w:rPr>
          <w:rFonts w:hint="eastAsia" w:ascii="宋体" w:hAnsi="宋体" w:eastAsia="方正仿宋_GBK" w:cs="方正仿宋_GBK"/>
          <w:b/>
          <w:sz w:val="32"/>
          <w:szCs w:val="32"/>
        </w:rPr>
      </w:pPr>
      <w:r>
        <w:rPr>
          <w:rFonts w:hint="eastAsia" w:ascii="宋体" w:hAnsi="宋体" w:cs="宋体"/>
          <w:b/>
          <w:sz w:val="32"/>
          <w:szCs w:val="32"/>
        </w:rPr>
        <w:t>1．</w:t>
      </w:r>
      <w:r>
        <w:rPr>
          <w:rFonts w:hint="eastAsia" w:ascii="宋体" w:hAnsi="宋体" w:eastAsia="方正仿宋_GBK" w:cs="方正仿宋_GBK"/>
          <w:b/>
          <w:sz w:val="32"/>
          <w:szCs w:val="32"/>
        </w:rPr>
        <w:t>立项背景及目的</w:t>
      </w:r>
    </w:p>
    <w:p>
      <w:pPr>
        <w:spacing w:line="590" w:lineRule="exact"/>
        <w:ind w:firstLine="640" w:firstLineChars="200"/>
        <w:rPr>
          <w:rFonts w:hint="eastAsia" w:ascii="方正仿宋_GBK" w:hAnsi="方正仿宋_GBK" w:eastAsia="方正仿宋_GBK" w:cs="方正仿宋_GBK"/>
          <w:color w:val="000000"/>
          <w:kern w:val="0"/>
          <w:sz w:val="32"/>
          <w:szCs w:val="32"/>
          <w:lang w:val="en-US" w:eastAsia="zh-CN"/>
        </w:rPr>
      </w:pPr>
      <w:r>
        <w:rPr>
          <w:rFonts w:hint="eastAsia" w:ascii="宋体" w:hAnsi="宋体" w:eastAsia="方正仿宋简体"/>
          <w:color w:val="000000"/>
          <w:kern w:val="0"/>
          <w:sz w:val="32"/>
          <w:szCs w:val="32"/>
        </w:rPr>
        <w:t>根据《中国共产党纪律处分条例》《中华人民共和国监察法》等，</w:t>
      </w:r>
      <w:r>
        <w:rPr>
          <w:rFonts w:hint="eastAsia" w:ascii="宋体" w:hAnsi="宋体" w:eastAsia="方正仿宋简体"/>
          <w:color w:val="000000"/>
          <w:kern w:val="0"/>
          <w:sz w:val="32"/>
          <w:szCs w:val="32"/>
          <w:lang w:val="en-US" w:eastAsia="zh-CN"/>
        </w:rPr>
        <w:t>县纪委监委负责</w:t>
      </w:r>
      <w:r>
        <w:rPr>
          <w:rFonts w:hint="eastAsia" w:ascii="方正仿宋_GBK" w:hAnsi="方正仿宋_GBK" w:eastAsia="方正仿宋_GBK" w:cs="方正仿宋_GBK"/>
          <w:color w:val="000000"/>
          <w:kern w:val="0"/>
          <w:sz w:val="32"/>
          <w:szCs w:val="32"/>
        </w:rPr>
        <w:t>开展全县党的纪律检查、监察工作，履行监督、执纪、问责职责和监督、调查、处置职责</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为</w:t>
      </w:r>
      <w:r>
        <w:rPr>
          <w:rFonts w:hint="eastAsia" w:ascii="方正仿宋_GBK" w:hAnsi="方正仿宋_GBK" w:eastAsia="方正仿宋_GBK" w:cs="方正仿宋_GBK"/>
          <w:color w:val="000000"/>
          <w:kern w:val="0"/>
          <w:sz w:val="32"/>
          <w:szCs w:val="32"/>
        </w:rPr>
        <w:t>运用好监督执纪“四种形态”依纪依法查办案件，推进廉政建设和反腐败高压态势，特申请该项费用</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纪委办案专项经费也是</w:t>
      </w:r>
      <w:r>
        <w:rPr>
          <w:rFonts w:hint="eastAsia" w:ascii="宋体" w:hAnsi="宋体" w:eastAsia="方正仿宋_GBK" w:cs="方正仿宋_GBK"/>
          <w:color w:val="000000"/>
          <w:sz w:val="32"/>
          <w:szCs w:val="32"/>
        </w:rPr>
        <w:t>我</w:t>
      </w:r>
      <w:r>
        <w:rPr>
          <w:rFonts w:hint="eastAsia" w:eastAsia="方正仿宋_GBK" w:cs="方正仿宋_GBK"/>
          <w:color w:val="000000"/>
          <w:sz w:val="32"/>
          <w:szCs w:val="32"/>
          <w:lang w:val="en-US" w:eastAsia="zh-CN"/>
        </w:rPr>
        <w:t>单位长期使用的特定目标类</w:t>
      </w:r>
      <w:r>
        <w:rPr>
          <w:rFonts w:hint="eastAsia" w:ascii="宋体" w:hAnsi="宋体" w:eastAsia="方正仿宋_GBK" w:cs="方正仿宋_GBK"/>
          <w:color w:val="000000"/>
          <w:sz w:val="32"/>
          <w:szCs w:val="32"/>
          <w:lang w:val="en-US" w:eastAsia="zh-CN"/>
        </w:rPr>
        <w:t>项目，围绕单位职能而设</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该项目经费</w:t>
      </w:r>
      <w:r>
        <w:rPr>
          <w:rFonts w:hint="eastAsia" w:ascii="宋体" w:hAnsi="宋体" w:eastAsia="方正仿宋_GBK" w:cs="方正仿宋_GBK"/>
          <w:color w:val="000000"/>
          <w:sz w:val="32"/>
          <w:szCs w:val="32"/>
        </w:rPr>
        <w:t>主要用于</w:t>
      </w:r>
      <w:r>
        <w:rPr>
          <w:rFonts w:hint="eastAsia" w:ascii="方正仿宋_GBK" w:hAnsi="方正仿宋_GBK" w:eastAsia="方正仿宋_GBK" w:cs="方正仿宋_GBK"/>
          <w:color w:val="000000"/>
          <w:kern w:val="0"/>
          <w:sz w:val="32"/>
          <w:szCs w:val="32"/>
        </w:rPr>
        <w:t>保障办案人员办案期间的差旅费、通讯费、交通费、办案设备购置费、办公场所维修维护费、调查取证费、房租费、会议费、工作人员及审查对象伙食费等</w:t>
      </w:r>
      <w:r>
        <w:rPr>
          <w:rFonts w:hint="eastAsia" w:ascii="方正仿宋_GBK" w:hAnsi="方正仿宋_GBK" w:eastAsia="方正仿宋_GBK" w:cs="方正仿宋_GBK"/>
          <w:color w:val="000000"/>
          <w:kern w:val="0"/>
          <w:sz w:val="32"/>
          <w:szCs w:val="32"/>
          <w:lang w:eastAsia="zh-CN"/>
        </w:rPr>
        <w:t>。</w:t>
      </w:r>
    </w:p>
    <w:p>
      <w:pPr>
        <w:pStyle w:val="6"/>
        <w:spacing w:after="0" w:line="590" w:lineRule="exact"/>
        <w:ind w:firstLine="643" w:firstLineChars="200"/>
        <w:rPr>
          <w:rFonts w:hint="eastAsia" w:ascii="宋体" w:hAnsi="宋体" w:eastAsia="方正仿宋_GBK" w:cs="方正仿宋_GBK"/>
          <w:b/>
          <w:sz w:val="32"/>
          <w:szCs w:val="32"/>
        </w:rPr>
      </w:pPr>
      <w:r>
        <w:rPr>
          <w:rFonts w:hint="eastAsia" w:ascii="宋体" w:hAnsi="宋体" w:cs="宋体"/>
          <w:b/>
          <w:sz w:val="32"/>
          <w:szCs w:val="32"/>
        </w:rPr>
        <w:t>2．</w:t>
      </w:r>
      <w:r>
        <w:rPr>
          <w:rFonts w:hint="eastAsia" w:ascii="宋体" w:hAnsi="宋体" w:eastAsia="方正仿宋_GBK" w:cs="方正仿宋_GBK"/>
          <w:b/>
          <w:sz w:val="32"/>
          <w:szCs w:val="32"/>
        </w:rPr>
        <w:t>预算资金来源及使用情况</w:t>
      </w:r>
    </w:p>
    <w:p>
      <w:pPr>
        <w:pStyle w:val="17"/>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（1）</w:t>
      </w:r>
      <w:r>
        <w:rPr>
          <w:rFonts w:hint="eastAsia" w:eastAsia="方正仿宋_GBK" w:cs="方正仿宋_GBK"/>
          <w:color w:val="000000"/>
          <w:sz w:val="32"/>
          <w:szCs w:val="32"/>
        </w:rPr>
        <w:t>项目资金来源情况</w:t>
      </w:r>
    </w:p>
    <w:p>
      <w:pPr>
        <w:pStyle w:val="17"/>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202</w:t>
      </w:r>
      <w:r>
        <w:rPr>
          <w:rFonts w:hint="eastAsia" w:cs="宋体"/>
          <w:color w:val="000000"/>
          <w:sz w:val="32"/>
          <w:szCs w:val="32"/>
          <w:lang w:val="en-US" w:eastAsia="zh-CN"/>
        </w:rPr>
        <w:t>3</w:t>
      </w:r>
      <w:r>
        <w:rPr>
          <w:rFonts w:hint="eastAsia" w:eastAsia="方正仿宋_GBK" w:cs="方正仿宋_GBK"/>
          <w:color w:val="000000"/>
          <w:sz w:val="32"/>
          <w:szCs w:val="32"/>
        </w:rPr>
        <w:t>年办案工作经费主要源于财政拨款，无其他资金投入。</w:t>
      </w:r>
    </w:p>
    <w:p>
      <w:pPr>
        <w:pStyle w:val="17"/>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（2）</w:t>
      </w:r>
      <w:r>
        <w:rPr>
          <w:rFonts w:hint="eastAsia" w:eastAsia="方正仿宋_GBK" w:cs="方正仿宋_GBK"/>
          <w:color w:val="000000"/>
          <w:sz w:val="32"/>
          <w:szCs w:val="32"/>
        </w:rPr>
        <w:t>项目资金</w:t>
      </w:r>
      <w:r>
        <w:rPr>
          <w:rFonts w:hint="eastAsia" w:eastAsia="方正仿宋_GBK" w:cs="方正仿宋_GBK"/>
          <w:color w:val="000000"/>
          <w:sz w:val="32"/>
          <w:szCs w:val="32"/>
          <w:lang w:val="en-US" w:eastAsia="zh-CN"/>
        </w:rPr>
        <w:t>使用</w:t>
      </w:r>
      <w:r>
        <w:rPr>
          <w:rFonts w:hint="eastAsia" w:eastAsia="方正仿宋_GBK" w:cs="方正仿宋_GBK"/>
          <w:color w:val="000000"/>
          <w:sz w:val="32"/>
          <w:szCs w:val="32"/>
        </w:rPr>
        <w:t>情况</w:t>
      </w:r>
    </w:p>
    <w:p>
      <w:pPr>
        <w:pStyle w:val="17"/>
        <w:shd w:val="clear" w:color="auto" w:fill="FFFFFF"/>
        <w:spacing w:before="0" w:beforeAutospacing="0" w:after="0" w:afterAutospacing="0" w:line="590" w:lineRule="exact"/>
        <w:ind w:firstLine="640" w:firstLineChars="200"/>
        <w:jc w:val="both"/>
        <w:rPr>
          <w:rFonts w:hint="eastAsia" w:ascii="宋体" w:hAnsi="宋体" w:eastAsia="方正仿宋_GBK" w:cs="方正仿宋_GBK"/>
          <w:color w:val="000000"/>
          <w:sz w:val="32"/>
          <w:szCs w:val="32"/>
          <w:lang w:val="en-US" w:eastAsia="zh-CN"/>
        </w:rPr>
      </w:pPr>
      <w:r>
        <w:rPr>
          <w:rFonts w:hint="eastAsia" w:cs="宋体"/>
          <w:color w:val="000000"/>
          <w:sz w:val="32"/>
          <w:szCs w:val="32"/>
        </w:rPr>
        <w:t>202</w:t>
      </w:r>
      <w:r>
        <w:rPr>
          <w:rFonts w:hint="eastAsia" w:cs="宋体"/>
          <w:color w:val="000000"/>
          <w:sz w:val="32"/>
          <w:szCs w:val="32"/>
          <w:lang w:val="en-US" w:eastAsia="zh-CN"/>
        </w:rPr>
        <w:t>3</w:t>
      </w:r>
      <w:r>
        <w:rPr>
          <w:rFonts w:hint="eastAsia" w:eastAsia="方正仿宋_GBK" w:cs="方正仿宋_GBK"/>
          <w:color w:val="000000"/>
          <w:sz w:val="32"/>
          <w:szCs w:val="32"/>
        </w:rPr>
        <w:t>年</w:t>
      </w:r>
      <w:r>
        <w:rPr>
          <w:rFonts w:hint="eastAsia" w:eastAsia="方正仿宋_GBK" w:cs="方正仿宋_GBK"/>
          <w:color w:val="000000"/>
          <w:sz w:val="32"/>
          <w:szCs w:val="32"/>
          <w:lang w:val="en-US" w:eastAsia="zh-CN"/>
        </w:rPr>
        <w:t>财政安排纪委</w:t>
      </w:r>
      <w:r>
        <w:rPr>
          <w:rFonts w:hint="eastAsia" w:eastAsia="方正仿宋_GBK" w:cs="方正仿宋_GBK"/>
          <w:color w:val="000000"/>
          <w:sz w:val="32"/>
          <w:szCs w:val="32"/>
        </w:rPr>
        <w:t>办案工作</w:t>
      </w:r>
      <w:r>
        <w:rPr>
          <w:rFonts w:hint="eastAsia" w:eastAsia="方正仿宋_GBK" w:cs="方正仿宋_GBK"/>
          <w:color w:val="000000"/>
          <w:sz w:val="32"/>
          <w:szCs w:val="32"/>
          <w:lang w:val="en-US" w:eastAsia="zh-CN"/>
        </w:rPr>
        <w:t>专项</w:t>
      </w:r>
      <w:r>
        <w:rPr>
          <w:rFonts w:hint="eastAsia" w:eastAsia="方正仿宋_GBK" w:cs="方正仿宋_GBK"/>
          <w:color w:val="000000"/>
          <w:sz w:val="32"/>
          <w:szCs w:val="32"/>
        </w:rPr>
        <w:t>经费</w:t>
      </w:r>
      <w:r>
        <w:rPr>
          <w:rFonts w:hint="eastAsia" w:eastAsia="方正仿宋_GBK" w:cs="宋体"/>
          <w:color w:val="000000"/>
          <w:sz w:val="32"/>
          <w:szCs w:val="32"/>
          <w:lang w:val="en-US" w:eastAsia="zh-CN"/>
        </w:rPr>
        <w:t>200.35</w:t>
      </w:r>
      <w:r>
        <w:rPr>
          <w:rFonts w:hint="eastAsia" w:eastAsia="方正仿宋_GBK" w:cs="方正仿宋_GBK"/>
          <w:color w:val="000000"/>
          <w:sz w:val="32"/>
          <w:szCs w:val="32"/>
        </w:rPr>
        <w:t>万元</w:t>
      </w:r>
      <w:r>
        <w:rPr>
          <w:rFonts w:hint="eastAsia"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全部</w:t>
      </w:r>
      <w:r>
        <w:rPr>
          <w:rFonts w:hint="eastAsia" w:ascii="宋体" w:hAnsi="宋体" w:eastAsia="方正仿宋_GBK" w:cs="方正仿宋_GBK"/>
          <w:color w:val="000000"/>
          <w:sz w:val="32"/>
          <w:szCs w:val="32"/>
        </w:rPr>
        <w:t>用于</w:t>
      </w:r>
      <w:r>
        <w:rPr>
          <w:rFonts w:hint="eastAsia" w:ascii="方正仿宋_GBK" w:hAnsi="方正仿宋_GBK" w:eastAsia="方正仿宋_GBK" w:cs="方正仿宋_GBK"/>
          <w:color w:val="000000"/>
          <w:sz w:val="32"/>
          <w:szCs w:val="32"/>
        </w:rPr>
        <w:t>与办案工作直接相关的各项费用，保证做到专款专用，包括办案人员办案期间的差旅费、通讯费、交通费、办案设备购置费、办公场所维修维护费、调查取证费、房租费、会议费、工作人员及审查对象伙食费等</w:t>
      </w:r>
      <w:r>
        <w:rPr>
          <w:rFonts w:hint="eastAsia" w:ascii="宋体" w:hAnsi="宋体" w:eastAsia="方正仿宋_GBK" w:cs="方正仿宋_GBK"/>
          <w:color w:val="000000"/>
          <w:sz w:val="32"/>
          <w:szCs w:val="32"/>
          <w:lang w:val="en-US" w:eastAsia="zh-CN"/>
        </w:rPr>
        <w:t>。</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eastAsia="方正仿宋_GBK" w:cs="方正仿宋_GBK"/>
          <w:color w:val="000000"/>
          <w:sz w:val="32"/>
          <w:szCs w:val="32"/>
          <w:lang w:val="en-US" w:eastAsia="zh-CN"/>
        </w:rPr>
      </w:pPr>
      <w:r>
        <w:rPr>
          <w:rFonts w:hint="eastAsia" w:eastAsia="方正仿宋_GBK" w:cs="方正仿宋_GBK"/>
          <w:color w:val="000000"/>
          <w:sz w:val="32"/>
          <w:szCs w:val="32"/>
          <w:lang w:val="en-US" w:eastAsia="zh-CN"/>
        </w:rPr>
        <w:t>本单位</w:t>
      </w:r>
      <w:r>
        <w:rPr>
          <w:rFonts w:hint="eastAsia" w:ascii="宋体" w:hAnsi="宋体" w:eastAsia="方正仿宋_GBK" w:cs="方正仿宋_GBK"/>
          <w:color w:val="000000"/>
          <w:sz w:val="32"/>
          <w:szCs w:val="32"/>
        </w:rPr>
        <w:t>按</w:t>
      </w:r>
      <w:r>
        <w:rPr>
          <w:rFonts w:hint="eastAsia" w:ascii="宋体" w:hAnsi="宋体" w:eastAsia="方正仿宋_GBK" w:cs="方正仿宋_GBK"/>
          <w:color w:val="000000"/>
          <w:sz w:val="32"/>
          <w:szCs w:val="32"/>
          <w:lang w:val="en-US" w:eastAsia="zh-CN"/>
        </w:rPr>
        <w:t>项目实施进度</w:t>
      </w:r>
      <w:r>
        <w:rPr>
          <w:rFonts w:hint="eastAsia" w:eastAsia="方正仿宋_GBK" w:cs="方正仿宋_GBK"/>
          <w:color w:val="000000"/>
          <w:sz w:val="32"/>
          <w:szCs w:val="32"/>
          <w:lang w:val="en-US" w:eastAsia="zh-CN"/>
        </w:rPr>
        <w:t>在</w:t>
      </w:r>
      <w:r>
        <w:rPr>
          <w:rFonts w:hint="eastAsia" w:ascii="宋体" w:hAnsi="宋体" w:eastAsia="方正仿宋_GBK" w:cs="方正仿宋_GBK"/>
          <w:color w:val="000000"/>
          <w:sz w:val="32"/>
          <w:szCs w:val="32"/>
          <w:lang w:val="en-US" w:eastAsia="zh-CN"/>
        </w:rPr>
        <w:t>预算管理一体化系统</w:t>
      </w:r>
      <w:r>
        <w:rPr>
          <w:rFonts w:hint="eastAsia" w:eastAsia="方正仿宋_GBK" w:cs="方正仿宋_GBK"/>
          <w:color w:val="000000"/>
          <w:sz w:val="32"/>
          <w:szCs w:val="32"/>
          <w:lang w:val="en-US" w:eastAsia="zh-CN"/>
        </w:rPr>
        <w:t>编报</w:t>
      </w:r>
      <w:r>
        <w:rPr>
          <w:rFonts w:hint="eastAsia" w:ascii="宋体" w:hAnsi="宋体" w:eastAsia="方正仿宋_GBK" w:cs="方正仿宋_GBK"/>
          <w:color w:val="000000"/>
          <w:sz w:val="32"/>
          <w:szCs w:val="32"/>
          <w:lang w:val="en-US" w:eastAsia="zh-CN"/>
        </w:rPr>
        <w:t>用款计划</w:t>
      </w:r>
      <w:r>
        <w:rPr>
          <w:rFonts w:hint="eastAsia" w:ascii="宋体" w:hAnsi="宋体" w:eastAsia="方正仿宋_GBK" w:cs="方正仿宋_GBK"/>
          <w:color w:val="000000"/>
          <w:sz w:val="32"/>
          <w:szCs w:val="32"/>
        </w:rPr>
        <w:t>，县财政局</w:t>
      </w:r>
      <w:r>
        <w:rPr>
          <w:rFonts w:hint="eastAsia" w:ascii="宋体" w:hAnsi="宋体" w:eastAsia="方正仿宋_GBK" w:cs="方正仿宋_GBK"/>
          <w:color w:val="000000"/>
          <w:sz w:val="32"/>
          <w:szCs w:val="32"/>
          <w:lang w:val="en-US" w:eastAsia="zh-CN"/>
        </w:rPr>
        <w:t>予以审核</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本</w:t>
      </w:r>
      <w:r>
        <w:rPr>
          <w:rFonts w:hint="eastAsia" w:ascii="宋体" w:hAnsi="宋体" w:eastAsia="方正仿宋_GBK" w:cs="方正仿宋_GBK"/>
          <w:color w:val="000000"/>
          <w:sz w:val="32"/>
          <w:szCs w:val="32"/>
        </w:rPr>
        <w:t>单位</w:t>
      </w:r>
      <w:r>
        <w:rPr>
          <w:rFonts w:hint="eastAsia" w:eastAsia="方正仿宋_GBK" w:cs="方正仿宋_GBK"/>
          <w:color w:val="000000"/>
          <w:sz w:val="32"/>
          <w:szCs w:val="32"/>
          <w:lang w:val="en-US" w:eastAsia="zh-CN"/>
        </w:rPr>
        <w:t>按实际发生的费用</w:t>
      </w:r>
      <w:r>
        <w:rPr>
          <w:rFonts w:hint="eastAsia" w:ascii="宋体" w:hAnsi="宋体" w:eastAsia="方正仿宋_GBK" w:cs="方正仿宋_GBK"/>
          <w:color w:val="000000"/>
          <w:sz w:val="32"/>
          <w:szCs w:val="32"/>
        </w:rPr>
        <w:t>合理</w:t>
      </w:r>
      <w:r>
        <w:rPr>
          <w:rFonts w:hint="eastAsia" w:eastAsia="方正仿宋_GBK" w:cs="方正仿宋_GBK"/>
          <w:color w:val="000000"/>
          <w:sz w:val="32"/>
          <w:szCs w:val="32"/>
          <w:lang w:val="en-US" w:eastAsia="zh-CN"/>
        </w:rPr>
        <w:t>分配</w:t>
      </w:r>
      <w:r>
        <w:rPr>
          <w:rFonts w:hint="eastAsia" w:ascii="宋体" w:hAnsi="宋体" w:eastAsia="方正仿宋_GBK" w:cs="方正仿宋_GBK"/>
          <w:color w:val="000000"/>
          <w:sz w:val="32"/>
          <w:szCs w:val="32"/>
        </w:rPr>
        <w:t>使用</w:t>
      </w:r>
      <w:r>
        <w:rPr>
          <w:rFonts w:hint="eastAsia" w:eastAsia="方正仿宋_GBK" w:cs="方正仿宋_GBK"/>
          <w:color w:val="000000"/>
          <w:sz w:val="32"/>
          <w:szCs w:val="32"/>
          <w:lang w:val="en-US" w:eastAsia="zh-CN"/>
        </w:rPr>
        <w:t>财政</w:t>
      </w:r>
      <w:r>
        <w:rPr>
          <w:rFonts w:hint="eastAsia" w:ascii="宋体" w:hAnsi="宋体" w:eastAsia="方正仿宋_GBK" w:cs="方正仿宋_GBK"/>
          <w:color w:val="000000"/>
          <w:sz w:val="32"/>
          <w:szCs w:val="32"/>
        </w:rPr>
        <w:t>资金，</w:t>
      </w:r>
      <w:r>
        <w:rPr>
          <w:rFonts w:hint="eastAsia" w:eastAsia="方正仿宋_GBK" w:cs="方正仿宋_GBK"/>
          <w:color w:val="000000"/>
          <w:sz w:val="32"/>
          <w:szCs w:val="32"/>
          <w:lang w:val="en-US" w:eastAsia="zh-CN"/>
        </w:rPr>
        <w:t>严格</w:t>
      </w:r>
      <w:r>
        <w:rPr>
          <w:rFonts w:hint="eastAsia" w:ascii="宋体" w:hAnsi="宋体" w:eastAsia="方正仿宋_GBK" w:cs="方正仿宋_GBK"/>
          <w:color w:val="000000"/>
          <w:sz w:val="32"/>
          <w:szCs w:val="32"/>
          <w:lang w:val="en-US" w:eastAsia="zh-CN"/>
        </w:rPr>
        <w:t>把关支出，</w:t>
      </w:r>
      <w:r>
        <w:rPr>
          <w:rFonts w:hint="eastAsia" w:eastAsia="方正仿宋_GBK" w:cs="方正仿宋_GBK"/>
          <w:color w:val="000000"/>
          <w:sz w:val="32"/>
          <w:szCs w:val="32"/>
          <w:lang w:val="en-US" w:eastAsia="zh-CN"/>
        </w:rPr>
        <w:t>做到手续完备、程序合规，县财政根据财政资金安排，予以审核拨付。</w:t>
      </w:r>
    </w:p>
    <w:p>
      <w:pPr>
        <w:pStyle w:val="6"/>
        <w:spacing w:after="0" w:line="590" w:lineRule="exact"/>
        <w:ind w:firstLine="643" w:firstLineChars="200"/>
        <w:rPr>
          <w:rFonts w:hint="eastAsia" w:ascii="宋体" w:hAnsi="宋体" w:eastAsia="方正仿宋_GBK" w:cs="方正仿宋_GBK"/>
          <w:b/>
          <w:sz w:val="32"/>
          <w:szCs w:val="32"/>
        </w:rPr>
      </w:pPr>
      <w:r>
        <w:rPr>
          <w:rFonts w:hint="eastAsia" w:ascii="宋体" w:hAnsi="宋体" w:cs="宋体"/>
          <w:b/>
          <w:sz w:val="32"/>
          <w:szCs w:val="32"/>
        </w:rPr>
        <w:t>3.</w:t>
      </w:r>
      <w:r>
        <w:rPr>
          <w:rFonts w:hint="eastAsia" w:ascii="宋体" w:hAnsi="宋体" w:eastAsia="方正仿宋_GBK" w:cs="方正仿宋_GBK"/>
          <w:b/>
          <w:sz w:val="32"/>
          <w:szCs w:val="32"/>
        </w:rPr>
        <w:t>项目完成情况</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cs="宋体"/>
          <w:color w:val="000000"/>
          <w:kern w:val="0"/>
          <w:sz w:val="32"/>
          <w:szCs w:val="32"/>
        </w:rPr>
        <w:t>（1）</w:t>
      </w:r>
      <w:r>
        <w:rPr>
          <w:rFonts w:hint="eastAsia" w:ascii="宋体" w:hAnsi="宋体" w:eastAsia="方正仿宋_GBK" w:cs="方正仿宋_GBK"/>
          <w:color w:val="000000"/>
          <w:kern w:val="0"/>
          <w:sz w:val="32"/>
          <w:szCs w:val="32"/>
        </w:rPr>
        <w:t>目标完成情况</w:t>
      </w:r>
    </w:p>
    <w:p>
      <w:pPr>
        <w:spacing w:line="590" w:lineRule="exact"/>
        <w:ind w:firstLine="640" w:firstLineChars="200"/>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立案376件，处分353人，共留置14人，其中，立案科级干部34件，处分科级干部39人；初核成案率为86.6%；涉嫌犯罪移送检察机关</w:t>
      </w:r>
      <w:bookmarkStart w:id="65" w:name="C9"/>
      <w:bookmarkEnd w:id="65"/>
      <w:r>
        <w:rPr>
          <w:rFonts w:hint="eastAsia" w:ascii="宋体" w:hAnsi="宋体" w:eastAsia="方正仿宋_GBK" w:cs="方正仿宋_GBK"/>
          <w:color w:val="000000"/>
          <w:kern w:val="0"/>
          <w:sz w:val="32"/>
          <w:szCs w:val="32"/>
          <w:lang w:val="en-US" w:eastAsia="zh-CN" w:bidi="ar-SA"/>
        </w:rPr>
        <w:t>审查起诉10人 ；收缴违纪违法资金918.4万元，挽回经济损失2134.57余万元。</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cs="宋体"/>
          <w:color w:val="000000"/>
          <w:kern w:val="0"/>
          <w:sz w:val="32"/>
          <w:szCs w:val="32"/>
        </w:rPr>
        <w:t>（2）</w:t>
      </w:r>
      <w:r>
        <w:rPr>
          <w:rFonts w:hint="eastAsia" w:ascii="宋体" w:hAnsi="宋体" w:eastAsia="方正仿宋_GBK" w:cs="方正仿宋_GBK"/>
          <w:color w:val="000000"/>
          <w:kern w:val="0"/>
          <w:sz w:val="32"/>
          <w:szCs w:val="32"/>
        </w:rPr>
        <w:t>项目效益情况</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lang w:val="en-US" w:eastAsia="zh-CN"/>
        </w:rPr>
        <w:t>一年来，运用监督执纪“四种形态”处置725人次。</w:t>
      </w:r>
      <w:r>
        <w:rPr>
          <w:rFonts w:hint="eastAsia" w:ascii="宋体" w:hAnsi="宋体" w:eastAsia="方正仿宋_GBK" w:cs="方正仿宋_GBK"/>
          <w:color w:val="000000"/>
          <w:kern w:val="0"/>
          <w:sz w:val="32"/>
          <w:szCs w:val="32"/>
        </w:rPr>
        <w:t>办案工作坚持稳中求进，保持审查调查力度，高质量办理留置案件，监察体制改革成效初显。一是问题线索管理更加科学高效；二是立案审查震慑效应更加突显；三是践行“四种形态”更加精准。</w:t>
      </w:r>
    </w:p>
    <w:p>
      <w:pPr>
        <w:pStyle w:val="6"/>
        <w:spacing w:after="0" w:line="590" w:lineRule="exact"/>
        <w:ind w:firstLine="643" w:firstLineChars="200"/>
        <w:rPr>
          <w:rFonts w:hint="eastAsia" w:ascii="宋体" w:hAnsi="宋体" w:eastAsia="方正仿宋_GBK" w:cs="方正仿宋_GBK"/>
          <w:b/>
          <w:sz w:val="32"/>
          <w:szCs w:val="32"/>
        </w:rPr>
      </w:pPr>
      <w:r>
        <w:rPr>
          <w:rFonts w:hint="eastAsia" w:ascii="宋体" w:hAnsi="宋体" w:cs="宋体"/>
          <w:b/>
          <w:sz w:val="32"/>
          <w:szCs w:val="32"/>
        </w:rPr>
        <w:t>4．</w:t>
      </w:r>
      <w:r>
        <w:rPr>
          <w:rFonts w:hint="eastAsia" w:ascii="宋体" w:hAnsi="宋体" w:eastAsia="方正仿宋_GBK" w:cs="方正仿宋_GBK"/>
          <w:b/>
          <w:sz w:val="32"/>
          <w:szCs w:val="32"/>
        </w:rPr>
        <w:t>项目组织</w:t>
      </w:r>
      <w:r>
        <w:rPr>
          <w:rFonts w:hint="eastAsia" w:ascii="宋体" w:hAnsi="宋体" w:eastAsia="方正仿宋_GBK" w:cs="方正仿宋_GBK"/>
          <w:b/>
          <w:sz w:val="32"/>
          <w:szCs w:val="32"/>
          <w:lang w:val="en-US" w:eastAsia="zh-CN"/>
        </w:rPr>
        <w:t>及</w:t>
      </w:r>
      <w:r>
        <w:rPr>
          <w:rFonts w:hint="eastAsia" w:ascii="宋体" w:hAnsi="宋体" w:eastAsia="方正仿宋_GBK" w:cs="方正仿宋_GBK"/>
          <w:b/>
          <w:sz w:val="32"/>
          <w:szCs w:val="32"/>
        </w:rPr>
        <w:t>管理情况</w:t>
      </w:r>
    </w:p>
    <w:p>
      <w:pPr>
        <w:pStyle w:val="17"/>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（1）</w:t>
      </w:r>
      <w:r>
        <w:rPr>
          <w:rFonts w:hint="eastAsia" w:eastAsia="方正仿宋_GBK" w:cs="方正仿宋_GBK"/>
          <w:color w:val="000000"/>
          <w:sz w:val="32"/>
          <w:szCs w:val="32"/>
        </w:rPr>
        <w:t>项目组织情况</w:t>
      </w:r>
    </w:p>
    <w:p>
      <w:pPr>
        <w:pStyle w:val="17"/>
        <w:spacing w:before="0" w:beforeAutospacing="0" w:after="0" w:afterAutospacing="0" w:line="59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根据县财政局的具体要求，本</w:t>
      </w:r>
      <w:r>
        <w:rPr>
          <w:rFonts w:hint="eastAsia" w:ascii="方正仿宋_GBK" w:hAnsi="方正仿宋_GBK" w:eastAsia="方正仿宋_GBK" w:cs="方正仿宋_GBK"/>
          <w:color w:val="000000"/>
          <w:sz w:val="32"/>
          <w:szCs w:val="32"/>
          <w:lang w:val="en-US" w:eastAsia="zh-CN"/>
        </w:rPr>
        <w:t>单位</w:t>
      </w:r>
      <w:r>
        <w:rPr>
          <w:rFonts w:hint="eastAsia" w:ascii="方正仿宋_GBK" w:hAnsi="方正仿宋_GBK" w:eastAsia="方正仿宋_GBK" w:cs="方正仿宋_GBK"/>
          <w:color w:val="000000"/>
          <w:sz w:val="32"/>
          <w:szCs w:val="32"/>
        </w:rPr>
        <w:t>高度重视，在年初召开会议，对办案工作做了具体安排部署，做到制度完善、职责明确、程序规范，有组织有计划有目的地开展办案工作。</w:t>
      </w:r>
    </w:p>
    <w:p>
      <w:pPr>
        <w:pStyle w:val="17"/>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cs="宋体"/>
          <w:color w:val="000000"/>
          <w:sz w:val="32"/>
          <w:szCs w:val="32"/>
        </w:rPr>
        <w:t>（2）</w:t>
      </w:r>
      <w:r>
        <w:rPr>
          <w:rFonts w:hint="eastAsia" w:eastAsia="方正仿宋_GBK" w:cs="方正仿宋_GBK"/>
          <w:color w:val="000000"/>
          <w:sz w:val="32"/>
          <w:szCs w:val="32"/>
        </w:rPr>
        <w:t>项目管理情况</w:t>
      </w:r>
    </w:p>
    <w:p>
      <w:pPr>
        <w:pStyle w:val="17"/>
        <w:spacing w:before="0" w:beforeAutospacing="0" w:after="0" w:afterAutospacing="0" w:line="59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是项目资金管理情况。为进一步规范和加强项目资金的使用管理，制定完善了《安岳县纪检监察办案工作经费管理办法》，明确规定资金的使用范围、申报程序、审核标准、拨付流程，做到专款专用、单独核算，并做好过程监管和凭证管理工作，自觉接受财政、审计等部门和社会监督，保障经费使用透明、合理和公开。</w:t>
      </w:r>
    </w:p>
    <w:p>
      <w:pPr>
        <w:pStyle w:val="17"/>
        <w:shd w:val="clear" w:color="auto" w:fill="FFFFFF"/>
        <w:spacing w:before="0" w:beforeAutospacing="0" w:after="0" w:afterAutospacing="0" w:line="590" w:lineRule="exact"/>
        <w:ind w:firstLine="640" w:firstLineChars="200"/>
        <w:jc w:val="both"/>
        <w:rPr>
          <w:rFonts w:eastAsia="方正仿宋简体"/>
          <w:color w:val="000000"/>
          <w:sz w:val="32"/>
          <w:szCs w:val="32"/>
        </w:rPr>
      </w:pPr>
      <w:r>
        <w:rPr>
          <w:rFonts w:hint="eastAsia" w:ascii="方正仿宋_GBK" w:hAnsi="方正仿宋_GBK" w:eastAsia="方正仿宋_GBK" w:cs="方正仿宋_GBK"/>
          <w:color w:val="000000"/>
          <w:sz w:val="32"/>
          <w:szCs w:val="32"/>
        </w:rPr>
        <w:t>二是项目实际执行情况。我</w:t>
      </w:r>
      <w:r>
        <w:rPr>
          <w:rFonts w:hint="eastAsia" w:ascii="方正仿宋_GBK" w:hAnsi="方正仿宋_GBK" w:eastAsia="方正仿宋_GBK" w:cs="方正仿宋_GBK"/>
          <w:color w:val="000000"/>
          <w:sz w:val="32"/>
          <w:szCs w:val="32"/>
          <w:lang w:val="en-US" w:eastAsia="zh-CN"/>
        </w:rPr>
        <w:t>单位</w:t>
      </w:r>
      <w:r>
        <w:rPr>
          <w:rFonts w:hint="eastAsia" w:ascii="方正仿宋_GBK" w:hAnsi="方正仿宋_GBK" w:eastAsia="方正仿宋_GBK" w:cs="方正仿宋_GBK"/>
          <w:color w:val="000000"/>
          <w:sz w:val="32"/>
          <w:szCs w:val="32"/>
        </w:rPr>
        <w:t>严格执行项目管理制度和专项资金管理办法，并在项目实施过程中，予以实时指导和监督，并及时通报项目进度，查找存在问题，及时做出整改。</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（二）绩效目标</w:t>
      </w:r>
    </w:p>
    <w:p>
      <w:pPr>
        <w:spacing w:line="590" w:lineRule="exact"/>
        <w:ind w:firstLine="643" w:firstLineChars="200"/>
        <w:rPr>
          <w:rFonts w:hint="eastAsia" w:ascii="宋体" w:hAnsi="宋体" w:eastAsia="方正仿宋_GBK" w:cs="方正仿宋_GBK"/>
          <w:b/>
          <w:color w:val="000000"/>
          <w:kern w:val="0"/>
          <w:sz w:val="32"/>
          <w:szCs w:val="32"/>
        </w:rPr>
      </w:pPr>
      <w:r>
        <w:rPr>
          <w:rFonts w:hint="eastAsia" w:ascii="宋体" w:hAnsi="宋体" w:eastAsia="方正仿宋_GBK" w:cs="方正仿宋_GBK"/>
          <w:b/>
          <w:color w:val="000000"/>
          <w:kern w:val="0"/>
          <w:sz w:val="32"/>
          <w:szCs w:val="32"/>
        </w:rPr>
        <w:t>1.项目绩效总目标</w:t>
      </w:r>
    </w:p>
    <w:p>
      <w:pPr>
        <w:pStyle w:val="17"/>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eastAsia="方正仿宋_GBK" w:cs="方正仿宋_GBK"/>
          <w:color w:val="000000"/>
          <w:sz w:val="32"/>
          <w:szCs w:val="32"/>
        </w:rPr>
        <w:t>通过全面从严治党，构建惩治和预防腐败体系，查办案件，抓好主责主业，落实好监督执纪问责责任，营造</w:t>
      </w:r>
      <w:r>
        <w:rPr>
          <w:rFonts w:hint="eastAsia" w:eastAsia="方正仿宋_GBK" w:cs="方正仿宋_GBK"/>
          <w:color w:val="000000"/>
          <w:sz w:val="32"/>
          <w:szCs w:val="32"/>
          <w:lang w:eastAsia="zh-CN"/>
        </w:rPr>
        <w:t>“</w:t>
      </w:r>
      <w:r>
        <w:rPr>
          <w:rFonts w:hint="eastAsia" w:eastAsia="方正仿宋_GBK" w:cs="方正仿宋_GBK"/>
          <w:color w:val="000000"/>
          <w:sz w:val="32"/>
          <w:szCs w:val="32"/>
        </w:rPr>
        <w:t>干部清正、政府清廉、政治清明、社会清新</w:t>
      </w:r>
      <w:r>
        <w:rPr>
          <w:rFonts w:hint="eastAsia" w:eastAsia="方正仿宋_GBK" w:cs="方正仿宋_GBK"/>
          <w:color w:val="000000"/>
          <w:sz w:val="32"/>
          <w:szCs w:val="32"/>
          <w:lang w:eastAsia="zh-CN"/>
        </w:rPr>
        <w:t>”</w:t>
      </w:r>
      <w:r>
        <w:rPr>
          <w:rFonts w:hint="eastAsia" w:eastAsia="方正仿宋_GBK" w:cs="方正仿宋_GBK"/>
          <w:color w:val="000000"/>
          <w:sz w:val="32"/>
          <w:szCs w:val="32"/>
        </w:rPr>
        <w:t>的环境。</w:t>
      </w:r>
    </w:p>
    <w:p>
      <w:pPr>
        <w:spacing w:line="590" w:lineRule="exact"/>
        <w:ind w:firstLine="643" w:firstLineChars="200"/>
        <w:rPr>
          <w:rFonts w:hint="eastAsia" w:ascii="宋体" w:hAnsi="宋体" w:eastAsia="方正仿宋_GBK" w:cs="方正仿宋_GBK"/>
          <w:b/>
          <w:color w:val="000000"/>
          <w:kern w:val="0"/>
          <w:sz w:val="32"/>
          <w:szCs w:val="32"/>
        </w:rPr>
      </w:pPr>
      <w:r>
        <w:rPr>
          <w:rFonts w:hint="eastAsia" w:ascii="宋体" w:hAnsi="宋体" w:eastAsia="方正仿宋_GBK" w:cs="方正仿宋_GBK"/>
          <w:b/>
          <w:color w:val="000000"/>
          <w:kern w:val="0"/>
          <w:sz w:val="32"/>
          <w:szCs w:val="32"/>
        </w:rPr>
        <w:t>2.项目具体绩效目标</w:t>
      </w:r>
    </w:p>
    <w:p>
      <w:pPr>
        <w:pStyle w:val="17"/>
        <w:shd w:val="clear" w:color="auto" w:fill="FFFFFF"/>
        <w:spacing w:before="0" w:beforeAutospacing="0" w:after="0" w:afterAutospacing="0" w:line="590" w:lineRule="exact"/>
        <w:ind w:firstLine="640" w:firstLineChars="200"/>
        <w:jc w:val="both"/>
        <w:rPr>
          <w:rFonts w:hint="eastAsia" w:eastAsia="方正仿宋_GBK" w:cs="方正仿宋_GBK"/>
          <w:color w:val="000000"/>
          <w:sz w:val="32"/>
          <w:szCs w:val="32"/>
        </w:rPr>
      </w:pPr>
      <w:r>
        <w:rPr>
          <w:rFonts w:hint="eastAsia" w:eastAsia="方正仿宋_GBK" w:cs="方正仿宋_GBK"/>
          <w:color w:val="000000"/>
          <w:sz w:val="32"/>
          <w:szCs w:val="32"/>
        </w:rPr>
        <w:t>通过人力、物力、财力的投放，聚焦落实“两个责任”，紧盯重点领域，直指违纪典型问题，认真开展反腐败工作，对党内机关、党员干部和公职人员开展纪律检查和监察工作。通过对资金拨付和项目执行的监管，实现项目完成率</w:t>
      </w:r>
      <w:r>
        <w:rPr>
          <w:rFonts w:hint="eastAsia" w:cs="宋体"/>
          <w:color w:val="000000"/>
          <w:sz w:val="32"/>
          <w:szCs w:val="32"/>
        </w:rPr>
        <w:t>100%</w:t>
      </w:r>
      <w:r>
        <w:rPr>
          <w:rFonts w:hint="eastAsia" w:eastAsia="方正仿宋_GBK" w:cs="方正仿宋_GBK"/>
          <w:color w:val="000000"/>
          <w:sz w:val="32"/>
          <w:szCs w:val="32"/>
        </w:rPr>
        <w:t>、完成及时率</w:t>
      </w:r>
      <w:r>
        <w:rPr>
          <w:rFonts w:hint="eastAsia" w:cs="宋体"/>
          <w:color w:val="000000"/>
          <w:sz w:val="32"/>
          <w:szCs w:val="32"/>
        </w:rPr>
        <w:t>100%</w:t>
      </w:r>
      <w:r>
        <w:rPr>
          <w:rFonts w:hint="eastAsia" w:eastAsia="方正仿宋_GBK" w:cs="方正仿宋_GBK"/>
          <w:color w:val="000000"/>
          <w:sz w:val="32"/>
          <w:szCs w:val="32"/>
        </w:rPr>
        <w:t>、质量达标率</w:t>
      </w:r>
      <w:r>
        <w:rPr>
          <w:rFonts w:hint="eastAsia" w:cs="宋体"/>
          <w:color w:val="000000"/>
          <w:sz w:val="32"/>
          <w:szCs w:val="32"/>
        </w:rPr>
        <w:t>100%</w:t>
      </w:r>
      <w:r>
        <w:rPr>
          <w:rFonts w:hint="eastAsia" w:eastAsia="方正仿宋_GBK" w:cs="方正仿宋_GBK"/>
          <w:color w:val="000000"/>
          <w:sz w:val="32"/>
          <w:szCs w:val="32"/>
        </w:rPr>
        <w:t>、成本控制率</w:t>
      </w:r>
      <w:r>
        <w:rPr>
          <w:rFonts w:hint="eastAsia" w:cs="宋体"/>
          <w:color w:val="000000"/>
          <w:sz w:val="32"/>
          <w:szCs w:val="32"/>
        </w:rPr>
        <w:t>100%</w:t>
      </w:r>
      <w:r>
        <w:rPr>
          <w:rFonts w:hint="eastAsia" w:eastAsia="方正仿宋_GBK" w:cs="方正仿宋_GBK"/>
          <w:color w:val="000000"/>
          <w:sz w:val="32"/>
          <w:szCs w:val="32"/>
        </w:rPr>
        <w:t>。</w:t>
      </w:r>
    </w:p>
    <w:p>
      <w:pPr>
        <w:pStyle w:val="6"/>
        <w:spacing w:after="0"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二、绩效自评工作情况</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（一）自评工作组织领导</w:t>
      </w:r>
    </w:p>
    <w:p>
      <w:pPr>
        <w:pStyle w:val="6"/>
        <w:spacing w:after="0"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为了确保</w:t>
      </w: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3</w:t>
      </w:r>
      <w:r>
        <w:rPr>
          <w:rFonts w:hint="eastAsia" w:ascii="宋体" w:hAnsi="宋体" w:eastAsia="方正仿宋_GBK" w:cs="方正仿宋_GBK"/>
          <w:color w:val="000000"/>
          <w:kern w:val="0"/>
          <w:sz w:val="32"/>
          <w:szCs w:val="32"/>
        </w:rPr>
        <w:t>年度预算项目绩效自评工作的顺利开展，我</w:t>
      </w:r>
      <w:r>
        <w:rPr>
          <w:rFonts w:hint="eastAsia" w:ascii="宋体" w:hAnsi="宋体" w:eastAsia="方正仿宋_GBK" w:cs="方正仿宋_GBK"/>
          <w:color w:val="000000"/>
          <w:kern w:val="0"/>
          <w:sz w:val="32"/>
          <w:szCs w:val="32"/>
          <w:lang w:val="en-US" w:eastAsia="zh-CN"/>
        </w:rPr>
        <w:t>单位</w:t>
      </w:r>
      <w:r>
        <w:rPr>
          <w:rFonts w:hint="eastAsia" w:ascii="宋体" w:hAnsi="宋体" w:eastAsia="方正仿宋_GBK" w:cs="方正仿宋_GBK"/>
          <w:color w:val="000000"/>
          <w:kern w:val="0"/>
          <w:sz w:val="32"/>
          <w:szCs w:val="32"/>
        </w:rPr>
        <w:t>专门成立了绩效评价工作领导小组，评价小组认真审核每笔开支，确保支出合规合法。</w:t>
      </w:r>
    </w:p>
    <w:p>
      <w:pPr>
        <w:pStyle w:val="6"/>
        <w:numPr>
          <w:ilvl w:val="0"/>
          <w:numId w:val="1"/>
        </w:numPr>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自评方式、方法、重点等</w:t>
      </w:r>
    </w:p>
    <w:p>
      <w:pPr>
        <w:pStyle w:val="17"/>
        <w:spacing w:before="0" w:beforeAutospacing="0" w:after="0" w:afterAutospacing="0" w:line="590" w:lineRule="exact"/>
        <w:ind w:firstLine="640" w:firstLineChars="2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评价小组主要采取“听、查、看”的方式进行项目绩效自评工作。听取项目实施的主要做法、亮点工作和存在的问题及改进措施等内容。查阅项目实施工作计划、会议记录、自评资料、自查报告、各种工作总结等有关的资料，看项目实施的人力、物力、财力投入，实时跟进项目进度，开展指导和监督。</w:t>
      </w:r>
    </w:p>
    <w:p>
      <w:pPr>
        <w:pStyle w:val="6"/>
        <w:spacing w:after="0"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三、评价结论</w:t>
      </w:r>
    </w:p>
    <w:p>
      <w:pPr>
        <w:spacing w:line="590" w:lineRule="exact"/>
        <w:ind w:firstLine="640" w:firstLineChars="200"/>
        <w:rPr>
          <w:rFonts w:hint="eastAsia" w:eastAsia="方正仿宋_GBK" w:cs="方正仿宋_GBK"/>
          <w:color w:val="000000"/>
          <w:sz w:val="32"/>
          <w:szCs w:val="32"/>
        </w:rPr>
      </w:pPr>
      <w:r>
        <w:rPr>
          <w:rFonts w:hint="eastAsia" w:ascii="Times New Roman" w:hAnsi="方正仿宋简体" w:eastAsia="方正仿宋简体" w:cs="方正仿宋简体"/>
          <w:sz w:val="32"/>
          <w:szCs w:val="32"/>
        </w:rPr>
        <w:t>按照</w:t>
      </w:r>
      <w:r>
        <w:rPr>
          <w:rFonts w:hint="eastAsia" w:ascii="Times New Roman" w:hAnsi="Times New Roman" w:eastAsia="方正仿宋简体"/>
          <w:sz w:val="32"/>
        </w:rPr>
        <w:t>《安岳县财政支出绩效评价管理办法》</w:t>
      </w:r>
      <w:r>
        <w:rPr>
          <w:rFonts w:hint="eastAsia" w:ascii="Times New Roman" w:hAnsi="方正仿宋简体" w:eastAsia="方正仿宋简体" w:cs="方正仿宋简体"/>
          <w:sz w:val="32"/>
          <w:szCs w:val="32"/>
        </w:rPr>
        <w:t>规定</w:t>
      </w:r>
      <w:r>
        <w:rPr>
          <w:rFonts w:hint="eastAsia" w:ascii="宋体" w:hAnsi="宋体" w:eastAsia="方正仿宋_GBK" w:cs="方正仿宋_GBK"/>
          <w:color w:val="000000"/>
          <w:kern w:val="0"/>
          <w:sz w:val="32"/>
          <w:szCs w:val="32"/>
          <w:lang w:val="en-US" w:eastAsia="zh-CN" w:bidi="ar-SA"/>
        </w:rPr>
        <w:t>，</w:t>
      </w:r>
      <w:r>
        <w:rPr>
          <w:rFonts w:hint="eastAsia" w:ascii="Times New Roman" w:hAnsi="方正仿宋简体" w:eastAsia="方正仿宋简体" w:cs="方正仿宋简体"/>
          <w:sz w:val="32"/>
          <w:szCs w:val="32"/>
        </w:rPr>
        <w:t>本着客观、真实、准确的原则开展</w:t>
      </w:r>
      <w:r>
        <w:rPr>
          <w:rFonts w:hint="eastAsia" w:ascii="Times New Roman" w:hAnsi="方正仿宋简体" w:eastAsia="方正仿宋简体" w:cs="方正仿宋简体"/>
          <w:sz w:val="32"/>
          <w:szCs w:val="32"/>
          <w:lang w:val="en-US" w:eastAsia="zh-CN"/>
        </w:rPr>
        <w:t>项目支</w:t>
      </w:r>
      <w:r>
        <w:rPr>
          <w:rFonts w:hint="eastAsia" w:ascii="Times New Roman" w:hAnsi="方正仿宋简体" w:eastAsia="方正仿宋简体" w:cs="方正仿宋简体"/>
          <w:sz w:val="32"/>
          <w:szCs w:val="32"/>
        </w:rPr>
        <w:t>出绩效自评，</w:t>
      </w:r>
      <w:r>
        <w:rPr>
          <w:rFonts w:hint="eastAsia" w:ascii="宋体" w:hAnsi="宋体" w:eastAsia="方正仿宋_GBK" w:cs="方正仿宋_GBK"/>
          <w:color w:val="000000"/>
          <w:sz w:val="32"/>
          <w:szCs w:val="32"/>
        </w:rPr>
        <w:t>经过综合评价，得分为</w:t>
      </w:r>
      <w:r>
        <w:rPr>
          <w:rFonts w:hint="eastAsia" w:ascii="宋体" w:hAnsi="宋体" w:eastAsia="方正仿宋_GBK" w:cs="宋体"/>
          <w:color w:val="000000"/>
          <w:sz w:val="32"/>
          <w:szCs w:val="32"/>
          <w:lang w:val="en-US" w:eastAsia="zh-CN"/>
        </w:rPr>
        <w:t>100</w:t>
      </w:r>
      <w:r>
        <w:rPr>
          <w:rFonts w:hint="eastAsia" w:ascii="宋体" w:hAnsi="宋体" w:eastAsia="方正仿宋_GBK" w:cs="方正仿宋_GBK"/>
          <w:color w:val="000000"/>
          <w:sz w:val="32"/>
          <w:szCs w:val="32"/>
        </w:rPr>
        <w:t>分，财政支出绩效为“优”。</w:t>
      </w:r>
    </w:p>
    <w:p>
      <w:pPr>
        <w:pStyle w:val="6"/>
        <w:spacing w:after="0"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四、绩效分析</w:t>
      </w:r>
    </w:p>
    <w:p>
      <w:pPr>
        <w:pStyle w:val="6"/>
        <w:spacing w:after="0" w:line="590" w:lineRule="exact"/>
        <w:ind w:firstLine="643" w:firstLineChars="200"/>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（一）项目经济性分析</w:t>
      </w:r>
    </w:p>
    <w:p>
      <w:pPr>
        <w:spacing w:line="590" w:lineRule="exact"/>
        <w:ind w:firstLine="643" w:firstLineChars="200"/>
        <w:rPr>
          <w:rFonts w:ascii="宋体" w:hAnsi="宋体" w:eastAsia="方正仿宋简体"/>
          <w:color w:val="000000"/>
          <w:kern w:val="0"/>
          <w:sz w:val="32"/>
          <w:szCs w:val="32"/>
        </w:rPr>
      </w:pPr>
      <w:r>
        <w:rPr>
          <w:rFonts w:hint="eastAsia" w:ascii="宋体" w:hAnsi="宋体" w:cs="宋体"/>
          <w:b/>
          <w:color w:val="000000"/>
          <w:kern w:val="0"/>
          <w:sz w:val="32"/>
          <w:szCs w:val="32"/>
        </w:rPr>
        <w:t>1.</w:t>
      </w:r>
      <w:r>
        <w:rPr>
          <w:rFonts w:hint="eastAsia" w:ascii="宋体" w:hAnsi="宋体" w:eastAsia="方正仿宋_GBK" w:cs="方正仿宋_GBK"/>
          <w:b/>
          <w:color w:val="000000"/>
          <w:kern w:val="0"/>
          <w:sz w:val="32"/>
          <w:szCs w:val="32"/>
        </w:rPr>
        <w:t>项目成本控制情况。</w:t>
      </w:r>
      <w:r>
        <w:rPr>
          <w:rFonts w:hint="eastAsia" w:ascii="宋体" w:hAnsi="宋体" w:eastAsia="方正仿宋_GBK" w:cs="方正仿宋_GBK"/>
          <w:color w:val="000000"/>
          <w:kern w:val="0"/>
          <w:sz w:val="32"/>
          <w:szCs w:val="32"/>
        </w:rPr>
        <w:t>使用合理，无超支。</w:t>
      </w:r>
    </w:p>
    <w:p>
      <w:pPr>
        <w:pStyle w:val="17"/>
        <w:shd w:val="clear" w:color="auto" w:fill="FFFFFF"/>
        <w:spacing w:before="0" w:beforeAutospacing="0" w:after="0" w:afterAutospacing="0" w:line="590" w:lineRule="exact"/>
        <w:ind w:firstLine="643" w:firstLineChars="200"/>
        <w:jc w:val="both"/>
        <w:rPr>
          <w:rFonts w:hint="eastAsia" w:eastAsia="方正仿宋_GBK" w:cs="方正仿宋_GBK"/>
          <w:color w:val="000000"/>
          <w:sz w:val="32"/>
          <w:szCs w:val="32"/>
        </w:rPr>
      </w:pPr>
      <w:r>
        <w:rPr>
          <w:rFonts w:hint="eastAsia" w:cs="宋体"/>
          <w:b/>
          <w:color w:val="000000"/>
          <w:sz w:val="32"/>
          <w:szCs w:val="32"/>
        </w:rPr>
        <w:t>2.</w:t>
      </w:r>
      <w:r>
        <w:rPr>
          <w:rFonts w:hint="eastAsia" w:eastAsia="方正仿宋_GBK" w:cs="方正仿宋_GBK"/>
          <w:b/>
          <w:color w:val="000000"/>
          <w:sz w:val="32"/>
          <w:szCs w:val="32"/>
        </w:rPr>
        <w:t>项目成本节约情况。</w:t>
      </w:r>
      <w:r>
        <w:rPr>
          <w:rFonts w:hint="eastAsia" w:eastAsia="方正仿宋_GBK" w:cs="方正仿宋_GBK"/>
          <w:bCs/>
          <w:color w:val="000000"/>
          <w:sz w:val="32"/>
          <w:szCs w:val="32"/>
        </w:rPr>
        <w:t>规范流程、严格审批</w:t>
      </w:r>
      <w:r>
        <w:rPr>
          <w:rFonts w:hint="eastAsia" w:eastAsia="方正仿宋_GBK" w:cs="方正仿宋_GBK"/>
          <w:color w:val="000000"/>
          <w:sz w:val="32"/>
          <w:szCs w:val="32"/>
        </w:rPr>
        <w:t>，建立项目资金收支流水账，可以及时观察到计划支出与实际支出的偏差，便于合理调剂和成本控制。</w:t>
      </w:r>
    </w:p>
    <w:p>
      <w:pPr>
        <w:pStyle w:val="6"/>
        <w:spacing w:after="0" w:line="590" w:lineRule="exact"/>
        <w:ind w:firstLine="643" w:firstLineChars="200"/>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（二）项目的效率性分析</w:t>
      </w:r>
    </w:p>
    <w:p>
      <w:pPr>
        <w:pStyle w:val="17"/>
        <w:spacing w:before="0" w:beforeAutospacing="0" w:after="0" w:afterAutospacing="0" w:line="590" w:lineRule="exact"/>
        <w:ind w:firstLine="643" w:firstLineChars="200"/>
        <w:jc w:val="both"/>
        <w:rPr>
          <w:rFonts w:hint="eastAsia" w:eastAsia="方正仿宋_GBK" w:cs="方正仿宋_GBK"/>
          <w:color w:val="000000"/>
          <w:sz w:val="32"/>
          <w:szCs w:val="32"/>
        </w:rPr>
      </w:pPr>
      <w:r>
        <w:rPr>
          <w:rFonts w:hint="eastAsia" w:cs="宋体"/>
          <w:b/>
          <w:color w:val="000000"/>
          <w:sz w:val="32"/>
          <w:szCs w:val="32"/>
        </w:rPr>
        <w:t>1.</w:t>
      </w:r>
      <w:r>
        <w:rPr>
          <w:rFonts w:hint="eastAsia" w:eastAsia="方正仿宋_GBK" w:cs="方正仿宋_GBK"/>
          <w:b/>
          <w:color w:val="000000"/>
          <w:sz w:val="32"/>
          <w:szCs w:val="32"/>
        </w:rPr>
        <w:t>项目的实施进度。</w:t>
      </w:r>
      <w:r>
        <w:rPr>
          <w:rFonts w:hint="eastAsia" w:eastAsia="方正仿宋_GBK" w:cs="方正仿宋_GBK"/>
          <w:color w:val="000000"/>
          <w:sz w:val="32"/>
          <w:szCs w:val="32"/>
        </w:rPr>
        <w:t>以财政预算为基础，根据办案工作的实际情况，分阶段按流程开展项目实施。</w:t>
      </w:r>
    </w:p>
    <w:p>
      <w:pPr>
        <w:pStyle w:val="17"/>
        <w:spacing w:before="0" w:beforeAutospacing="0" w:after="0" w:afterAutospacing="0" w:line="590" w:lineRule="exact"/>
        <w:ind w:firstLine="643" w:firstLineChars="200"/>
        <w:jc w:val="both"/>
        <w:rPr>
          <w:rFonts w:hint="eastAsia" w:eastAsia="方正仿宋简体"/>
          <w:color w:val="000000"/>
          <w:sz w:val="32"/>
          <w:szCs w:val="32"/>
        </w:rPr>
      </w:pPr>
      <w:r>
        <w:rPr>
          <w:rFonts w:hint="eastAsia" w:cs="宋体"/>
          <w:b/>
          <w:color w:val="000000"/>
          <w:sz w:val="32"/>
          <w:szCs w:val="32"/>
        </w:rPr>
        <w:t>2.</w:t>
      </w:r>
      <w:r>
        <w:rPr>
          <w:rFonts w:hint="eastAsia" w:eastAsia="方正仿宋_GBK" w:cs="方正仿宋_GBK"/>
          <w:b/>
          <w:color w:val="000000"/>
          <w:sz w:val="32"/>
          <w:szCs w:val="32"/>
        </w:rPr>
        <w:t>项目完成质量。</w:t>
      </w:r>
      <w:r>
        <w:rPr>
          <w:rFonts w:hint="eastAsia" w:eastAsia="方正仿宋_GBK" w:cs="方正仿宋_GBK"/>
          <w:color w:val="000000"/>
          <w:sz w:val="32"/>
          <w:szCs w:val="32"/>
        </w:rPr>
        <w:t>全面完成年初制订的项目指标，有效遏制腐败蔓延势头，取得较好的社会</w:t>
      </w:r>
      <w:r>
        <w:rPr>
          <w:rFonts w:hint="eastAsia" w:eastAsia="方正仿宋_GBK" w:cs="方正仿宋_GBK"/>
          <w:color w:val="000000"/>
          <w:sz w:val="32"/>
          <w:szCs w:val="32"/>
          <w:lang w:val="en-US" w:eastAsia="zh-CN"/>
        </w:rPr>
        <w:t>效益</w:t>
      </w:r>
      <w:r>
        <w:rPr>
          <w:rFonts w:hint="eastAsia" w:eastAsia="方正仿宋简体"/>
          <w:color w:val="000000"/>
          <w:sz w:val="32"/>
          <w:szCs w:val="32"/>
        </w:rPr>
        <w:t>。</w:t>
      </w:r>
    </w:p>
    <w:p>
      <w:pPr>
        <w:pStyle w:val="6"/>
        <w:spacing w:after="0" w:line="590" w:lineRule="exact"/>
        <w:ind w:firstLine="643" w:firstLineChars="200"/>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（三）项目的效益性分析</w:t>
      </w:r>
    </w:p>
    <w:p>
      <w:pPr>
        <w:pStyle w:val="17"/>
        <w:spacing w:before="0" w:beforeAutospacing="0" w:after="0" w:afterAutospacing="0" w:line="590" w:lineRule="exact"/>
        <w:ind w:firstLine="643" w:firstLineChars="200"/>
        <w:jc w:val="both"/>
        <w:rPr>
          <w:rFonts w:hint="eastAsia" w:ascii="宋体" w:hAnsi="宋体" w:eastAsia="方正仿宋_GBK" w:cs="方正仿宋_GBK"/>
          <w:color w:val="000000"/>
          <w:sz w:val="32"/>
          <w:szCs w:val="32"/>
        </w:rPr>
      </w:pPr>
      <w:r>
        <w:rPr>
          <w:rFonts w:hint="eastAsia" w:cs="宋体"/>
          <w:b/>
          <w:color w:val="000000"/>
          <w:sz w:val="32"/>
          <w:szCs w:val="32"/>
        </w:rPr>
        <w:t>1.</w:t>
      </w:r>
      <w:r>
        <w:rPr>
          <w:rFonts w:hint="eastAsia" w:eastAsia="方正仿宋_GBK" w:cs="方正仿宋_GBK"/>
          <w:b/>
          <w:color w:val="000000"/>
          <w:sz w:val="32"/>
          <w:szCs w:val="32"/>
        </w:rPr>
        <w:t>项目预期目标完成。</w:t>
      </w:r>
      <w:r>
        <w:rPr>
          <w:rFonts w:hint="eastAsia" w:ascii="宋体" w:hAnsi="宋体" w:eastAsia="方正仿宋_GBK" w:cs="方正仿宋_GBK"/>
          <w:color w:val="000000"/>
          <w:sz w:val="32"/>
          <w:szCs w:val="32"/>
          <w:lang w:val="en-US" w:eastAsia="zh-CN"/>
        </w:rPr>
        <w:t>本年度项目绩效目标全部完成，无偏差，</w:t>
      </w:r>
      <w:r>
        <w:rPr>
          <w:rFonts w:hint="eastAsia" w:ascii="宋体" w:hAnsi="宋体" w:eastAsia="方正仿宋_GBK" w:cs="方正仿宋_GBK"/>
          <w:color w:val="000000"/>
          <w:sz w:val="32"/>
          <w:szCs w:val="32"/>
        </w:rPr>
        <w:t>达到了预期目标。</w:t>
      </w:r>
    </w:p>
    <w:p>
      <w:pPr>
        <w:pStyle w:val="17"/>
        <w:spacing w:before="0" w:beforeAutospacing="0" w:after="0" w:afterAutospacing="0" w:line="590" w:lineRule="exact"/>
        <w:ind w:firstLine="643" w:firstLineChars="200"/>
        <w:jc w:val="both"/>
        <w:rPr>
          <w:rFonts w:hint="eastAsia" w:eastAsia="方正仿宋_GBK" w:cs="方正仿宋_GBK"/>
          <w:color w:val="000000"/>
          <w:sz w:val="32"/>
          <w:szCs w:val="32"/>
        </w:rPr>
      </w:pPr>
      <w:r>
        <w:rPr>
          <w:rFonts w:hint="eastAsia" w:cs="宋体"/>
          <w:b/>
          <w:color w:val="000000"/>
          <w:sz w:val="32"/>
          <w:szCs w:val="32"/>
        </w:rPr>
        <w:t>2.</w:t>
      </w:r>
      <w:r>
        <w:rPr>
          <w:rFonts w:hint="eastAsia" w:eastAsia="方正仿宋_GBK" w:cs="方正仿宋_GBK"/>
          <w:b/>
          <w:color w:val="000000"/>
          <w:sz w:val="32"/>
          <w:szCs w:val="32"/>
        </w:rPr>
        <w:t>项目实施对经济和社会的影响。</w:t>
      </w:r>
      <w:r>
        <w:rPr>
          <w:rFonts w:hint="eastAsia" w:eastAsia="方正仿宋_GBK" w:cs="方正仿宋_GBK"/>
          <w:color w:val="000000"/>
          <w:sz w:val="32"/>
          <w:szCs w:val="32"/>
        </w:rPr>
        <w:t>坚持有腐必反、有贪必肃，始终保持惩治腐败的高压态势。贯彻落实中央“八项规定”精神，持续整治“四风”，党风廉政建设和反腐败各项工作取得了新进展、新成效，为我县经济社会健康发展提供强有力的保障。</w:t>
      </w:r>
    </w:p>
    <w:p>
      <w:pPr>
        <w:pStyle w:val="6"/>
        <w:spacing w:after="0" w:line="590" w:lineRule="exact"/>
        <w:ind w:firstLine="640" w:firstLineChars="200"/>
        <w:rPr>
          <w:rFonts w:hint="eastAsia" w:ascii="宋体" w:hAnsi="宋体" w:eastAsia="方正黑体_GBK" w:cs="方正黑体_GBK"/>
          <w:sz w:val="32"/>
          <w:szCs w:val="32"/>
        </w:rPr>
      </w:pPr>
      <w:r>
        <w:rPr>
          <w:rFonts w:hint="eastAsia" w:ascii="宋体" w:hAnsi="宋体" w:eastAsia="方正黑体_GBK" w:cs="方正黑体_GBK"/>
          <w:sz w:val="32"/>
          <w:szCs w:val="32"/>
        </w:rPr>
        <w:t>五、主要经验及做法、存在的问题和建议</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（一）主要经验及做法</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办案工作经费由班子成员召开会议谋划测算，同时听取办案部门建议，合理编制项目预算。同时做好项目支出登记，具体到时间、报销人、事由，实时监测办案工作经费的使用情况。</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（二）存在的问题</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方正仿宋_GBK"/>
          <w:color w:val="000000"/>
          <w:kern w:val="0"/>
          <w:sz w:val="32"/>
          <w:szCs w:val="32"/>
        </w:rPr>
        <w:t>一是存在预算编制和执行偏差问题，我部门主要履行党的纪律检查和政府行政监察两项职能，监督对象和监察对象大大增加，办案工作业务量随之增大，且还要负责省、市交办案件，在上年度编制预算时无法准确预计，</w:t>
      </w:r>
      <w:r>
        <w:rPr>
          <w:rFonts w:hint="eastAsia" w:ascii="宋体" w:hAnsi="宋体" w:eastAsia="方正仿宋_GBK" w:cs="方正仿宋_GBK"/>
          <w:color w:val="000000"/>
          <w:kern w:val="0"/>
          <w:sz w:val="32"/>
          <w:szCs w:val="32"/>
          <w:lang w:val="en-US" w:eastAsia="zh-CN"/>
        </w:rPr>
        <w:t>存在</w:t>
      </w:r>
      <w:r>
        <w:rPr>
          <w:rFonts w:hint="eastAsia" w:ascii="宋体" w:hAnsi="宋体" w:eastAsia="方正仿宋_GBK" w:cs="方正仿宋_GBK"/>
          <w:color w:val="000000"/>
          <w:kern w:val="0"/>
          <w:sz w:val="32"/>
          <w:szCs w:val="32"/>
        </w:rPr>
        <w:t>当年追加调剂预算的情况，</w:t>
      </w:r>
      <w:r>
        <w:rPr>
          <w:rFonts w:hint="eastAsia" w:ascii="宋体" w:hAnsi="宋体" w:eastAsia="方正仿宋_GBK" w:cs="方正仿宋_GBK"/>
          <w:color w:val="000000"/>
          <w:kern w:val="0"/>
          <w:sz w:val="32"/>
          <w:szCs w:val="32"/>
          <w:lang w:val="en-US" w:eastAsia="zh-CN"/>
        </w:rPr>
        <w:t>导致</w:t>
      </w:r>
      <w:r>
        <w:rPr>
          <w:rFonts w:hint="eastAsia" w:ascii="宋体" w:hAnsi="宋体" w:eastAsia="方正仿宋_GBK" w:cs="方正仿宋_GBK"/>
          <w:color w:val="000000"/>
          <w:kern w:val="0"/>
          <w:sz w:val="32"/>
          <w:szCs w:val="32"/>
        </w:rPr>
        <w:t>预算</w:t>
      </w:r>
      <w:r>
        <w:rPr>
          <w:rFonts w:hint="eastAsia" w:ascii="宋体" w:hAnsi="宋体" w:eastAsia="方正仿宋_GBK" w:cs="方正仿宋_GBK"/>
          <w:color w:val="000000"/>
          <w:kern w:val="0"/>
          <w:sz w:val="32"/>
          <w:szCs w:val="32"/>
          <w:lang w:val="en-US" w:eastAsia="zh-CN"/>
        </w:rPr>
        <w:t>调整幅度较大</w:t>
      </w:r>
      <w:r>
        <w:rPr>
          <w:rFonts w:hint="eastAsia" w:ascii="宋体" w:hAnsi="宋体" w:eastAsia="方正仿宋_GBK" w:cs="方正仿宋_GBK"/>
          <w:color w:val="000000"/>
          <w:kern w:val="0"/>
          <w:sz w:val="32"/>
          <w:szCs w:val="32"/>
        </w:rPr>
        <w:t>。二是由于财政困难，项目资金到位差，有时资金未能及时拨付。</w:t>
      </w:r>
    </w:p>
    <w:p>
      <w:pPr>
        <w:pStyle w:val="6"/>
        <w:spacing w:after="0" w:line="590" w:lineRule="exact"/>
        <w:ind w:firstLine="643" w:firstLineChars="200"/>
        <w:rPr>
          <w:rFonts w:hint="eastAsia" w:ascii="宋体" w:hAnsi="宋体" w:eastAsia="方正楷体_GBK" w:cs="方正楷体_GBK"/>
          <w:b/>
          <w:sz w:val="32"/>
          <w:szCs w:val="32"/>
        </w:rPr>
      </w:pPr>
      <w:r>
        <w:rPr>
          <w:rFonts w:hint="eastAsia" w:ascii="宋体" w:hAnsi="宋体" w:eastAsia="方正楷体_GBK" w:cs="方正楷体_GBK"/>
          <w:b/>
          <w:sz w:val="32"/>
          <w:szCs w:val="32"/>
        </w:rPr>
        <w:t>（三）建议和改进措施</w:t>
      </w:r>
    </w:p>
    <w:p>
      <w:pPr>
        <w:pStyle w:val="6"/>
        <w:spacing w:after="0" w:line="590" w:lineRule="exact"/>
        <w:ind w:firstLine="640" w:firstLineChars="200"/>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一是进一步强化预算管理意识，预算编制前多与办案单位做好沟通衔接，提高预算编制的科学性、合理性、准确性和可控性。二是强化预算的刚性约束，做到“先预算后开支”，强化对财政资金的追踪问效，提高财政资金的使用效益。</w:t>
      </w:r>
    </w:p>
    <w:p>
      <w:pPr>
        <w:pStyle w:val="6"/>
        <w:spacing w:after="0" w:line="590" w:lineRule="exact"/>
        <w:ind w:firstLine="640" w:firstLineChars="200"/>
        <w:rPr>
          <w:rFonts w:hint="eastAsia" w:ascii="宋体" w:hAnsi="宋体" w:eastAsia="方正仿宋_GBK" w:cs="方正仿宋_GBK"/>
          <w:color w:val="000000"/>
          <w:sz w:val="32"/>
          <w:szCs w:val="32"/>
        </w:rPr>
      </w:pPr>
    </w:p>
    <w:p>
      <w:pPr>
        <w:pStyle w:val="6"/>
        <w:spacing w:after="0" w:line="580" w:lineRule="exact"/>
        <w:ind w:firstLine="627" w:firstLineChars="196"/>
        <w:rPr>
          <w:rFonts w:ascii="Times New Roman" w:hAnsi="Times New Roman" w:eastAsia="方正仿宋简体"/>
          <w:color w:val="000000"/>
          <w:kern w:val="0"/>
          <w:sz w:val="32"/>
          <w:szCs w:val="32"/>
        </w:rPr>
      </w:pPr>
      <w:r>
        <w:rPr>
          <w:rFonts w:hint="eastAsia" w:ascii="宋体" w:hAnsi="宋体" w:eastAsia="方正仿宋_GBK" w:cs="方正仿宋_GBK"/>
          <w:color w:val="000000"/>
          <w:kern w:val="0"/>
          <w:sz w:val="32"/>
          <w:szCs w:val="32"/>
          <w:lang w:val="en-US" w:eastAsia="zh-CN" w:bidi="ar-SA"/>
        </w:rPr>
        <w:t>附件：</w:t>
      </w:r>
      <w:r>
        <w:rPr>
          <w:rFonts w:hint="eastAsia" w:ascii="Times New Roman" w:eastAsia="方正仿宋简体"/>
          <w:color w:val="000000"/>
          <w:kern w:val="0"/>
          <w:sz w:val="32"/>
          <w:szCs w:val="32"/>
          <w:lang w:val="en-US" w:eastAsia="zh-CN"/>
        </w:rPr>
        <w:t xml:space="preserve">2-1 </w:t>
      </w:r>
      <w:r>
        <w:rPr>
          <w:rFonts w:hint="eastAsia" w:ascii="Times New Roman" w:hAnsi="Times New Roman" w:eastAsia="方正仿宋简体"/>
          <w:color w:val="000000"/>
          <w:kern w:val="0"/>
          <w:sz w:val="32"/>
          <w:szCs w:val="32"/>
        </w:rPr>
        <w:t>202</w:t>
      </w:r>
      <w:r>
        <w:rPr>
          <w:rFonts w:hint="eastAsia" w:ascii="Times New Roman" w:hAnsi="Times New Roman" w:eastAsia="方正仿宋简体"/>
          <w:color w:val="000000"/>
          <w:kern w:val="0"/>
          <w:sz w:val="32"/>
          <w:szCs w:val="32"/>
          <w:lang w:val="en-US" w:eastAsia="zh-CN"/>
        </w:rPr>
        <w:t>3</w:t>
      </w:r>
      <w:r>
        <w:rPr>
          <w:rFonts w:ascii="Times New Roman" w:hAnsi="Times New Roman" w:eastAsia="方正仿宋简体"/>
          <w:color w:val="000000"/>
          <w:kern w:val="0"/>
          <w:sz w:val="32"/>
          <w:szCs w:val="32"/>
        </w:rPr>
        <w:t>年度</w:t>
      </w:r>
      <w:r>
        <w:rPr>
          <w:rFonts w:hint="eastAsia" w:ascii="Times New Roman" w:hAnsi="Times New Roman" w:eastAsia="方正仿宋简体"/>
          <w:color w:val="000000"/>
          <w:kern w:val="0"/>
          <w:sz w:val="32"/>
          <w:szCs w:val="32"/>
        </w:rPr>
        <w:t>安岳县</w:t>
      </w:r>
      <w:r>
        <w:rPr>
          <w:rFonts w:ascii="Times New Roman" w:hAnsi="Times New Roman" w:eastAsia="方正仿宋简体"/>
          <w:color w:val="000000"/>
          <w:kern w:val="0"/>
          <w:sz w:val="32"/>
          <w:szCs w:val="32"/>
        </w:rPr>
        <w:t>项目支出绩效自评计分表</w:t>
      </w:r>
    </w:p>
    <w:p>
      <w:pPr>
        <w:pStyle w:val="6"/>
        <w:spacing w:line="620" w:lineRule="exact"/>
        <w:ind w:left="2237" w:leftChars="608" w:hanging="960" w:hangingChars="300"/>
        <w:jc w:val="left"/>
        <w:rPr>
          <w:rFonts w:hint="eastAsia" w:ascii="Times New Roman" w:hAnsi="Times New Roman" w:eastAsia="方正仿宋简体"/>
          <w:spacing w:val="-20"/>
          <w:sz w:val="32"/>
          <w:szCs w:val="32"/>
        </w:rPr>
      </w:pPr>
      <w:r>
        <w:rPr>
          <w:rFonts w:hint="eastAsia" w:ascii="Times New Roman" w:hAnsi="Times New Roman" w:eastAsia="方正仿宋简体"/>
          <w:sz w:val="32"/>
          <w:szCs w:val="32"/>
        </w:rPr>
        <w:t xml:space="preserve">  </w:t>
      </w:r>
      <w:r>
        <w:rPr>
          <w:rFonts w:ascii="Times New Roman" w:hAnsi="Times New Roman" w:eastAsia="方正仿宋简体"/>
          <w:sz w:val="32"/>
          <w:szCs w:val="32"/>
        </w:rPr>
        <w:t>2</w:t>
      </w:r>
      <w:r>
        <w:rPr>
          <w:rFonts w:hint="eastAsia" w:ascii="Times New Roman" w:eastAsia="方正仿宋简体"/>
          <w:sz w:val="32"/>
          <w:szCs w:val="32"/>
          <w:lang w:val="en-US" w:eastAsia="zh-CN"/>
        </w:rPr>
        <w:t xml:space="preserve">-2 </w:t>
      </w:r>
      <w:r>
        <w:rPr>
          <w:rFonts w:hint="eastAsia" w:ascii="Times New Roman" w:eastAsia="方正仿宋简体"/>
          <w:spacing w:val="-20"/>
          <w:sz w:val="32"/>
          <w:szCs w:val="32"/>
          <w:lang w:val="en-US" w:eastAsia="zh-CN"/>
        </w:rPr>
        <w:t>2</w:t>
      </w:r>
      <w:r>
        <w:rPr>
          <w:rFonts w:ascii="Times New Roman" w:hAnsi="Times New Roman" w:eastAsia="方正仿宋简体"/>
          <w:spacing w:val="-20"/>
          <w:sz w:val="32"/>
          <w:szCs w:val="32"/>
        </w:rPr>
        <w:t>0</w:t>
      </w:r>
      <w:r>
        <w:rPr>
          <w:rFonts w:hint="eastAsia" w:ascii="Times New Roman" w:hAnsi="Times New Roman" w:eastAsia="方正仿宋简体"/>
          <w:spacing w:val="-20"/>
          <w:sz w:val="32"/>
          <w:szCs w:val="32"/>
        </w:rPr>
        <w:t>2</w:t>
      </w:r>
      <w:r>
        <w:rPr>
          <w:rFonts w:hint="eastAsia" w:ascii="Times New Roman" w:hAnsi="Times New Roman" w:eastAsia="方正仿宋简体"/>
          <w:spacing w:val="-20"/>
          <w:sz w:val="32"/>
          <w:szCs w:val="32"/>
          <w:lang w:val="en-US" w:eastAsia="zh-CN"/>
        </w:rPr>
        <w:t>3</w:t>
      </w:r>
      <w:r>
        <w:rPr>
          <w:rFonts w:ascii="Times New Roman" w:hAnsi="Times New Roman" w:eastAsia="方正仿宋简体"/>
          <w:spacing w:val="-20"/>
          <w:sz w:val="32"/>
          <w:szCs w:val="32"/>
        </w:rPr>
        <w:t>年度</w:t>
      </w:r>
      <w:r>
        <w:rPr>
          <w:rFonts w:hint="eastAsia" w:ascii="Times New Roman" w:hAnsi="Times New Roman" w:eastAsia="方正仿宋简体"/>
          <w:spacing w:val="-20"/>
          <w:sz w:val="32"/>
          <w:szCs w:val="32"/>
        </w:rPr>
        <w:t>安岳县</w:t>
      </w:r>
      <w:r>
        <w:rPr>
          <w:rFonts w:ascii="Times New Roman" w:hAnsi="Times New Roman" w:eastAsia="方正仿宋简体"/>
          <w:spacing w:val="-20"/>
          <w:sz w:val="32"/>
          <w:szCs w:val="32"/>
        </w:rPr>
        <w:t>项目支出绩效目标完成情况表</w:t>
      </w:r>
    </w:p>
    <w:p>
      <w:pPr>
        <w:pStyle w:val="6"/>
        <w:keepNext w:val="0"/>
        <w:keepLines w:val="0"/>
        <w:pageBreakBefore w:val="0"/>
        <w:kinsoku/>
        <w:wordWrap/>
        <w:overflowPunct/>
        <w:topLinePunct w:val="0"/>
        <w:autoSpaceDE/>
        <w:autoSpaceDN/>
        <w:bidi w:val="0"/>
        <w:adjustRightInd/>
        <w:snapToGrid/>
        <w:spacing w:after="0" w:line="590" w:lineRule="exact"/>
        <w:ind w:firstLine="627" w:firstLineChars="196"/>
        <w:textAlignment w:val="auto"/>
        <w:rPr>
          <w:rFonts w:hint="eastAsia" w:ascii="宋体" w:hAnsi="宋体" w:eastAsia="方正仿宋简体"/>
          <w:color w:val="000000"/>
          <w:kern w:val="0"/>
          <w:sz w:val="32"/>
          <w:szCs w:val="32"/>
        </w:rPr>
      </w:pPr>
    </w:p>
    <w:p>
      <w:pPr>
        <w:pStyle w:val="6"/>
        <w:keepNext w:val="0"/>
        <w:keepLines w:val="0"/>
        <w:pageBreakBefore w:val="0"/>
        <w:widowControl w:val="0"/>
        <w:kinsoku/>
        <w:wordWrap/>
        <w:overflowPunct/>
        <w:topLinePunct w:val="0"/>
        <w:autoSpaceDE/>
        <w:autoSpaceDN/>
        <w:bidi w:val="0"/>
        <w:adjustRightInd/>
        <w:snapToGrid/>
        <w:spacing w:after="0" w:line="590" w:lineRule="exact"/>
        <w:ind w:firstLine="6400" w:firstLineChars="2000"/>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 xml:space="preserve">                                  </w:t>
      </w:r>
    </w:p>
    <w:p>
      <w:pPr>
        <w:rPr>
          <w:rFonts w:hint="eastAsia" w:ascii="宋体" w:hAnsi="宋体"/>
        </w:rPr>
      </w:pPr>
    </w:p>
    <w:p>
      <w:pPr>
        <w:pStyle w:val="2"/>
        <w:rPr>
          <w:rFonts w:hint="eastAsia"/>
        </w:rPr>
      </w:pPr>
    </w:p>
    <w:p>
      <w:pPr>
        <w:pStyle w:val="6"/>
        <w:rPr>
          <w:rFonts w:hint="eastAsia" w:ascii="宋体" w:hAnsi="宋体"/>
        </w:rPr>
      </w:pPr>
    </w:p>
    <w:p>
      <w:pPr>
        <w:rPr>
          <w:rFonts w:hint="eastAsia" w:ascii="宋体" w:hAnsi="宋体"/>
        </w:rPr>
      </w:pPr>
    </w:p>
    <w:p>
      <w:pPr>
        <w:spacing w:line="620" w:lineRule="exact"/>
        <w:jc w:val="left"/>
        <w:rPr>
          <w:rFonts w:hint="eastAsia" w:ascii="宋体" w:hAnsi="宋体" w:eastAsia="方正黑体_GBK" w:cs="方正黑体_GBK"/>
          <w:bCs/>
          <w:kern w:val="0"/>
          <w:sz w:val="32"/>
          <w:szCs w:val="32"/>
        </w:rPr>
      </w:pPr>
    </w:p>
    <w:p>
      <w:pPr>
        <w:spacing w:line="620" w:lineRule="exact"/>
        <w:jc w:val="left"/>
        <w:rPr>
          <w:rFonts w:hint="eastAsia" w:ascii="宋体" w:hAnsi="宋体" w:eastAsia="方正黑体_GBK" w:cs="方正黑体_GBK"/>
          <w:bCs/>
          <w:kern w:val="0"/>
          <w:sz w:val="32"/>
          <w:szCs w:val="32"/>
        </w:rPr>
      </w:pPr>
    </w:p>
    <w:p>
      <w:pPr>
        <w:rPr>
          <w:rFonts w:hint="eastAsia" w:ascii="宋体" w:hAnsi="宋体" w:eastAsia="方正黑体_GBK" w:cs="方正黑体_GBK"/>
          <w:bCs/>
          <w:kern w:val="0"/>
          <w:sz w:val="32"/>
          <w:szCs w:val="32"/>
          <w:lang w:val="en-US" w:eastAsia="zh-CN"/>
        </w:rPr>
      </w:pPr>
      <w:r>
        <w:rPr>
          <w:rFonts w:hint="eastAsia" w:ascii="宋体" w:hAnsi="宋体" w:eastAsia="方正黑体_GBK" w:cs="方正黑体_GBK"/>
          <w:bCs/>
          <w:kern w:val="0"/>
          <w:sz w:val="32"/>
          <w:szCs w:val="32"/>
          <w:lang w:val="en-US" w:eastAsia="zh-CN"/>
        </w:rPr>
        <w:br w:type="page"/>
      </w:r>
    </w:p>
    <w:p>
      <w:pPr>
        <w:spacing w:line="620" w:lineRule="exact"/>
        <w:jc w:val="left"/>
        <w:rPr>
          <w:rFonts w:hint="default" w:ascii="宋体" w:hAnsi="宋体" w:eastAsia="方正黑体_GBK" w:cs="方正黑体_GBK"/>
          <w:bCs/>
          <w:kern w:val="0"/>
          <w:sz w:val="32"/>
          <w:szCs w:val="32"/>
          <w:lang w:val="en-US" w:eastAsia="zh-CN"/>
        </w:rPr>
      </w:pPr>
      <w:r>
        <w:rPr>
          <w:rFonts w:hint="eastAsia" w:ascii="宋体" w:hAnsi="宋体" w:eastAsia="方正黑体_GBK" w:cs="方正黑体_GBK"/>
          <w:bCs/>
          <w:kern w:val="0"/>
          <w:sz w:val="32"/>
          <w:szCs w:val="32"/>
          <w:lang w:val="en-US" w:eastAsia="zh-CN"/>
        </w:rPr>
        <w:t>附件2-1</w:t>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年度安岳县项目支出绩效自评计分表</w:t>
      </w:r>
    </w:p>
    <w:p>
      <w:pPr>
        <w:autoSpaceDE w:val="0"/>
        <w:autoSpaceDN w:val="0"/>
        <w:adjustRightInd w:val="0"/>
        <w:spacing w:line="580" w:lineRule="exact"/>
        <w:jc w:val="center"/>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（纪委办案专项经费）</w:t>
      </w:r>
    </w:p>
    <w:p>
      <w:pPr>
        <w:spacing w:line="620" w:lineRule="exact"/>
        <w:rPr>
          <w:rFonts w:ascii="宋体" w:hAnsi="宋体" w:eastAsia="方正黑体简体"/>
          <w:sz w:val="32"/>
          <w:szCs w:val="32"/>
        </w:rPr>
      </w:pPr>
      <w:r>
        <w:rPr>
          <w:rFonts w:hint="eastAsia" w:ascii="Times New Roman" w:hAnsi="Times New Roman" w:eastAsia="楷体_GB2312" w:cs="Times New Roman"/>
          <w:b/>
          <w:bCs/>
          <w:kern w:val="0"/>
          <w:sz w:val="20"/>
          <w:szCs w:val="20"/>
          <w:lang w:val="en-US" w:eastAsia="zh-CN"/>
        </w:rPr>
        <w:t xml:space="preserve">预算单位名称：中国共产党安岳县纪律检查委员会  </w:t>
      </w:r>
      <w:r>
        <w:rPr>
          <w:rFonts w:hint="eastAsia" w:eastAsia="楷体_GB2312" w:cs="Times New Roman"/>
          <w:b/>
          <w:bCs/>
          <w:kern w:val="0"/>
          <w:sz w:val="20"/>
          <w:szCs w:val="20"/>
          <w:lang w:val="en-US" w:eastAsia="zh-CN"/>
        </w:rPr>
        <w:t xml:space="preserve"> </w:t>
      </w:r>
      <w:r>
        <w:rPr>
          <w:rFonts w:hint="eastAsia" w:ascii="Times New Roman" w:hAnsi="Times New Roman" w:eastAsia="楷体_GB2312" w:cs="Times New Roman"/>
          <w:b/>
          <w:bCs/>
          <w:kern w:val="0"/>
          <w:sz w:val="20"/>
          <w:szCs w:val="20"/>
          <w:lang w:val="en-US" w:eastAsia="zh-CN"/>
        </w:rPr>
        <w:t xml:space="preserve"> 预算单位编码：103001   </w:t>
      </w:r>
      <w:r>
        <w:rPr>
          <w:rFonts w:hint="eastAsia" w:eastAsia="楷体_GB2312" w:cs="Times New Roman"/>
          <w:b/>
          <w:bCs/>
          <w:kern w:val="0"/>
          <w:sz w:val="20"/>
          <w:szCs w:val="20"/>
          <w:lang w:val="en-US" w:eastAsia="zh-CN"/>
        </w:rPr>
        <w:t xml:space="preserve">  </w:t>
      </w:r>
      <w:r>
        <w:rPr>
          <w:rFonts w:hint="eastAsia" w:ascii="Times New Roman" w:hAnsi="Times New Roman" w:eastAsia="楷体_GB2312" w:cs="Times New Roman"/>
          <w:b/>
          <w:bCs/>
          <w:kern w:val="0"/>
          <w:sz w:val="20"/>
          <w:szCs w:val="20"/>
          <w:lang w:val="en-US" w:eastAsia="zh-CN"/>
        </w:rPr>
        <w:t xml:space="preserve">自评等级： 优 </w:t>
      </w:r>
      <w:r>
        <w:rPr>
          <w:rFonts w:ascii="宋体" w:hAnsi="宋体" w:eastAsia="方正小标宋简体"/>
          <w:color w:val="000000"/>
          <w:kern w:val="0"/>
          <w:szCs w:val="21"/>
        </w:rPr>
        <w:t xml:space="preserve"> </w:t>
      </w:r>
      <w:r>
        <w:rPr>
          <w:rFonts w:ascii="宋体" w:hAnsi="宋体" w:eastAsia="楷体_GB2312"/>
          <w:b/>
          <w:bCs/>
          <w:kern w:val="0"/>
          <w:sz w:val="20"/>
          <w:szCs w:val="20"/>
        </w:rPr>
        <w:t xml:space="preserve">              </w:t>
      </w:r>
    </w:p>
    <w:tbl>
      <w:tblPr>
        <w:tblStyle w:val="18"/>
        <w:tblW w:w="5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86"/>
        <w:gridCol w:w="700"/>
        <w:gridCol w:w="1918"/>
        <w:gridCol w:w="3352"/>
        <w:gridCol w:w="63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330"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292"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349"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w:t>
            </w:r>
          </w:p>
        </w:tc>
        <w:tc>
          <w:tcPr>
            <w:tcW w:w="956"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671"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指标说明（评价计分标准）</w:t>
            </w:r>
          </w:p>
        </w:tc>
        <w:tc>
          <w:tcPr>
            <w:tcW w:w="314"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分数</w:t>
            </w:r>
          </w:p>
        </w:tc>
        <w:tc>
          <w:tcPr>
            <w:tcW w:w="1084"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33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投   入（25分）</w:t>
            </w: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立项（15分）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项目立项规范性（5分）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项目的申请、设立过程是否符合相关要求，用以反映和考核项目立项的规范情况。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①项目是否按照规定的程序申请设立；（1分）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②所提交的文件、材料是否符合相关要求；（2分）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③事前是否已经过必要的可行性研究、专家论证、风险评估、集体决策等。（2分）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该项目</w:t>
            </w:r>
            <w:r>
              <w:rPr>
                <w:rFonts w:hint="eastAsia" w:ascii="宋体" w:hAnsi="宋体" w:eastAsia="宋体" w:cs="宋体"/>
                <w:kern w:val="0"/>
                <w:sz w:val="20"/>
                <w:szCs w:val="20"/>
              </w:rPr>
              <w:t>严格按照县财政局相关要求做好项目申请、入库、登记等流程，相关资料留存备查，事前进行绩效评估，并形成报告</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绩效目标合理性（4分）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项目所设定的绩效目标是否依据充分，是否符合客观实际，用以反映和考核项目绩效目标与项目实施的相符情况。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①是否符合国家相关法律法规、国民经济发展规划和党委政府决策；（1分）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②是否与项目实施单位或委托单位职责密切相关；（1分）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③项目是否为促进事业发展所必需；（1分）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④项目预期产出效益和效果是否符合正常的业绩水平。（1分）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4" w:type="pct"/>
            <w:noWrap/>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根据《中国共产党纪律处分条例》《中华人民共和国监察法》等实施项目，与党的纪律检查、监察职能职责密切相关，预期能有效惩治腐败、净化社会环境。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绩效指标明确性（6分）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依据绩效目标设定的绩效指标是否清晰、细化、可衡量等，用以反映和考核项目绩效目标的明细化情况。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①是否将项目绩效目标细化分解为具体的绩效指标；（2分）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②是否通过清晰、可衡量的指标值予以体现；（1分）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③是否与项目年度任务数或计划数相对应；（1分）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④是否与预算确定的项目投资额或资金量相匹配。（2分）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084" w:type="pct"/>
            <w:noWrap/>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根据市纪委监委下达的202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年审查调查工作考核指标细化项目绩效指标，做到可衡量，且符合实际。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落实（10分）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资金到位率（5分）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实际到位资金与计划投入资金的比率，用以反映和考核资金落实情况对项目实施的总体保障程度。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资金到位率=（实际到位资金/计划投入资金）×100%。（达到目标值得5分，每少一个百分点扣1分，扣完为止）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实际到位资金：一定时期（本年度或项目期）内实际落实到具体项目的资金。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计划投入资金：一定时期（本年度或项目期）内计划投入到具体项目的资金。</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实际到位</w:t>
            </w:r>
            <w:r>
              <w:rPr>
                <w:rFonts w:hint="eastAsia" w:ascii="宋体" w:hAnsi="宋体" w:eastAsia="宋体" w:cs="宋体"/>
                <w:kern w:val="0"/>
                <w:sz w:val="20"/>
                <w:szCs w:val="20"/>
                <w:lang w:val="en-US" w:eastAsia="zh-CN"/>
              </w:rPr>
              <w:t>200.35</w:t>
            </w:r>
            <w:r>
              <w:rPr>
                <w:rFonts w:hint="eastAsia" w:ascii="宋体" w:hAnsi="宋体" w:eastAsia="宋体" w:cs="宋体"/>
                <w:kern w:val="0"/>
                <w:sz w:val="20"/>
                <w:szCs w:val="20"/>
              </w:rPr>
              <w:t>万元/计划投入</w:t>
            </w:r>
            <w:r>
              <w:rPr>
                <w:rFonts w:hint="eastAsia" w:ascii="宋体" w:hAnsi="宋体" w:eastAsia="宋体" w:cs="宋体"/>
                <w:kern w:val="0"/>
                <w:sz w:val="20"/>
                <w:szCs w:val="20"/>
                <w:lang w:val="en-US" w:eastAsia="zh-CN"/>
              </w:rPr>
              <w:t>200.35</w:t>
            </w:r>
            <w:r>
              <w:rPr>
                <w:rFonts w:hint="eastAsia" w:ascii="宋体" w:hAnsi="宋体" w:eastAsia="宋体" w:cs="宋体"/>
                <w:kern w:val="0"/>
                <w:sz w:val="20"/>
                <w:szCs w:val="20"/>
              </w:rPr>
              <w:t>万元*100%=100%</w:t>
            </w:r>
            <w:r>
              <w:rPr>
                <w:rFonts w:hint="eastAsia" w:ascii="宋体" w:hAnsi="宋体" w:eastAsia="宋体" w:cs="宋体"/>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到位及时率（5分）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及时到位资金与应到位资金的比率，用以反映和考核项目资金落实的及时性程度。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到位及时率=（及时到位资金/应到位资金）×100%。（达到目标值得5分，每少一个百分点扣1分，扣完为止）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及时到位资金：截至规定时点实际落实到具体项目的资金。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应到位资金：按照合同或项目进度要求截至规定时点应落实到具体项目的资金。</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到位</w:t>
            </w:r>
            <w:r>
              <w:rPr>
                <w:rFonts w:hint="eastAsia" w:ascii="宋体" w:hAnsi="宋体" w:eastAsia="宋体" w:cs="宋体"/>
                <w:kern w:val="0"/>
                <w:sz w:val="20"/>
                <w:szCs w:val="20"/>
                <w:lang w:val="en-US" w:eastAsia="zh-CN"/>
              </w:rPr>
              <w:t>及时率=</w:t>
            </w:r>
            <w:r>
              <w:rPr>
                <w:rFonts w:hint="eastAsia" w:ascii="宋体" w:hAnsi="宋体" w:eastAsia="宋体" w:cs="宋体"/>
                <w:kern w:val="0"/>
                <w:sz w:val="20"/>
                <w:szCs w:val="20"/>
              </w:rPr>
              <w:t>（及时到位资金/应到位资金）×100%</w:t>
            </w:r>
            <w:r>
              <w:rPr>
                <w:rFonts w:hint="eastAsia" w:ascii="宋体" w:hAnsi="宋体" w:eastAsia="宋体" w:cs="宋体"/>
                <w:kern w:val="0"/>
                <w:sz w:val="20"/>
                <w:szCs w:val="20"/>
                <w:lang w:val="en-US" w:eastAsia="zh-CN"/>
              </w:rPr>
              <w:t>=200.35</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200.35</w:t>
            </w:r>
            <w:r>
              <w:rPr>
                <w:rFonts w:hint="eastAsia" w:ascii="宋体" w:hAnsi="宋体" w:eastAsia="宋体" w:cs="宋体"/>
                <w:kern w:val="0"/>
                <w:sz w:val="20"/>
                <w:szCs w:val="20"/>
              </w:rPr>
              <w:t>*100%=100%</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3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过   程（25分）</w:t>
            </w: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业务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管理（13分）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管理制度健全性（4分）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项目实施单位的业务管理制度是否健全，用以反映和考核业务管理制度对项目顺利实施的保障情况。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①是否已制定或具有相应的业务管理制度；（2分）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②业务管理制度是否合法、合规、完整。（2分）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已制定《中国共产党纪律检查机关监督执纪工作规则》《纪检监察机关监督检查审查调查统计工作规则》等文件,并严格落实</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制度执行有效性（6分)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项目实施是否符合相关业务管理规定，用以反映和考核业务管理制度的有效执行情况。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①是否遵守相关法律法规和业务管理规定；(1分）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②项目调整及支出调整手续是否完备；（1分）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③项目合同书、验收报告、技术鉴定等资料是否齐全并及时归档；（2分）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④项目实施的人员条件、场地设备、信息支撑等是否落实到位。（2分）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严格按照法律法规实施项目,程序合规,资料完整归档,人财物保障到位</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项目质量可控性（3分）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项目实施单位是否为达到项目质量要求而采取了必需的措施,用以反映和考核项目实施单位对项目质量的控制情况。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①是否已制定或具有相应的项目质量要求或标准；（1分）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②是否采取了相应的项目质量检查、验收等必需的控制措施或手段。（2分）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已制定《关于切实加强审查调查安全工作的意见》《纪检监察机监督检查审查调查措施使用规定》等文件,通过查阅卷宗资料,实地指导,知识测试等形式提高办案质量</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管理（12分）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管理制度健全性（3分）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项目实施单位的财务制度是否健全，用以反映和考核财务管理制度对资金规范、安全运行的保障情况。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①是否已制定或具有相应的项目资金管理办法；（2分）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②项目资金管理办法是否符合相关财务会计制度的规定。（1分）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084" w:type="pct"/>
            <w:noWrap/>
            <w:vAlign w:val="center"/>
          </w:tcPr>
          <w:p>
            <w:pPr>
              <w:widowControl/>
              <w:jc w:val="both"/>
              <w:rPr>
                <w:rFonts w:hint="eastAsia" w:ascii="宋体" w:hAnsi="宋体" w:eastAsia="宋体" w:cs="宋体"/>
                <w:sz w:val="20"/>
                <w:szCs w:val="20"/>
                <w:lang w:eastAsia="zh-CN"/>
              </w:rPr>
            </w:pPr>
            <w:r>
              <w:rPr>
                <w:rFonts w:hint="eastAsia" w:ascii="宋体" w:hAnsi="宋体" w:eastAsia="宋体" w:cs="宋体"/>
                <w:kern w:val="0"/>
                <w:sz w:val="20"/>
                <w:szCs w:val="20"/>
              </w:rPr>
              <w:t>已制定《安岳县纪检监察办案工作经费管理办法》</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资金使用合规性（7分）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项目资金使用是否符合相关的财务管理制度规定，用以反映和考核项目资金的规范运行情况。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①是否符合国家财经法规和财务管理制度以及有关专项资金管理办法的规定；（1分）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②资金的拨付是否有完整的审批程序和手续；（2分）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③项目的重大开支是否经过评估认证；（1分）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④是否符合项目预算批复或合同规定的用途；（1分）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⑤是否存在截留、挤占、挪用、虚列支出等情况。（2分）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084" w:type="pct"/>
            <w:noWrap/>
            <w:vAlign w:val="center"/>
          </w:tcPr>
          <w:p>
            <w:pPr>
              <w:widowControl/>
              <w:jc w:val="both"/>
              <w:rPr>
                <w:rFonts w:hint="eastAsia" w:ascii="宋体" w:hAnsi="宋体" w:eastAsia="宋体" w:cs="宋体"/>
                <w:sz w:val="20"/>
                <w:szCs w:val="20"/>
                <w:lang w:eastAsia="zh-CN"/>
              </w:rPr>
            </w:pPr>
            <w:r>
              <w:rPr>
                <w:rFonts w:hint="eastAsia" w:ascii="宋体" w:hAnsi="宋体" w:eastAsia="宋体" w:cs="宋体"/>
                <w:kern w:val="0"/>
                <w:sz w:val="20"/>
                <w:szCs w:val="20"/>
              </w:rPr>
              <w:t>符合相关财经法规制度,严格审批程序,专款专用,未发现违规违纪行为</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财务监控有效性（2分）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项目实施单位是否为保障资金的安全、规范运行而采取了必要的监控措施，用以反映和考核项目实施单位对资金运行的控制情况。</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①是否已制定或具有相应的监控机制；（1分）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②是否采取了相应的财务检查等必要的监控措施或手段。（1分）</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开展内部审计，实时监控分析财务收支流水账,全面掌握项目资金运行情况</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33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产   出（20分）</w:t>
            </w: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产出（20分）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实际完成率（4分）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项目实施的实际产出数与计划产出数的比率，用以反映和考核项目产出数量目标的实现程度。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spacing w:val="-14"/>
                <w:kern w:val="0"/>
                <w:sz w:val="20"/>
                <w:szCs w:val="20"/>
              </w:rPr>
              <w:t>实际完成率=（实际产出数/计划产出数）×100%。（得分=实际完成率*4分）</w:t>
            </w:r>
            <w:r>
              <w:rPr>
                <w:rFonts w:hint="eastAsia" w:ascii="宋体" w:hAnsi="宋体" w:eastAsia="宋体" w:cs="宋体"/>
                <w:spacing w:val="-14"/>
                <w:kern w:val="0"/>
                <w:sz w:val="20"/>
                <w:szCs w:val="20"/>
              </w:rPr>
              <w:br w:type="textWrapping"/>
            </w:r>
            <w:r>
              <w:rPr>
                <w:rFonts w:hint="eastAsia" w:ascii="宋体" w:hAnsi="宋体" w:eastAsia="宋体" w:cs="宋体"/>
                <w:spacing w:val="-14"/>
                <w:kern w:val="0"/>
                <w:sz w:val="20"/>
                <w:szCs w:val="20"/>
              </w:rPr>
              <w:t>实际产出数：一定时期（本年度或项目期）内项目实际产出的产品或提供的服务数量。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计划产出数：项目绩效目标确定的在一定时期（本年度或项目期）内计划产出的产品或提供的服务数量。</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spacing w:val="-14"/>
                <w:kern w:val="0"/>
                <w:sz w:val="20"/>
                <w:szCs w:val="20"/>
              </w:rPr>
              <w:t>立案</w:t>
            </w:r>
            <w:r>
              <w:rPr>
                <w:rFonts w:hint="eastAsia" w:ascii="宋体" w:hAnsi="宋体" w:eastAsia="宋体" w:cs="宋体"/>
                <w:spacing w:val="-14"/>
                <w:kern w:val="0"/>
                <w:sz w:val="20"/>
                <w:szCs w:val="20"/>
                <w:lang w:val="en-US" w:eastAsia="zh-CN"/>
              </w:rPr>
              <w:t>376</w:t>
            </w:r>
            <w:r>
              <w:rPr>
                <w:rFonts w:hint="eastAsia" w:ascii="宋体" w:hAnsi="宋体" w:eastAsia="宋体" w:cs="宋体"/>
                <w:spacing w:val="-14"/>
                <w:kern w:val="0"/>
                <w:sz w:val="20"/>
                <w:szCs w:val="20"/>
              </w:rPr>
              <w:t>件</w:t>
            </w:r>
            <w:r>
              <w:rPr>
                <w:rFonts w:hint="eastAsia" w:ascii="宋体" w:hAnsi="宋体" w:eastAsia="宋体" w:cs="宋体"/>
                <w:spacing w:val="-14"/>
                <w:kern w:val="0"/>
                <w:sz w:val="20"/>
                <w:szCs w:val="20"/>
                <w:lang w:eastAsia="zh-CN"/>
              </w:rPr>
              <w:t>，</w:t>
            </w:r>
            <w:r>
              <w:rPr>
                <w:rFonts w:hint="eastAsia" w:ascii="宋体" w:hAnsi="宋体" w:eastAsia="宋体" w:cs="宋体"/>
                <w:spacing w:val="-14"/>
                <w:kern w:val="0"/>
                <w:sz w:val="20"/>
                <w:szCs w:val="20"/>
              </w:rPr>
              <w:t>处</w:t>
            </w:r>
            <w:r>
              <w:rPr>
                <w:rFonts w:hint="eastAsia" w:ascii="宋体" w:hAnsi="宋体" w:eastAsia="宋体" w:cs="宋体"/>
                <w:spacing w:val="-14"/>
                <w:kern w:val="0"/>
                <w:sz w:val="20"/>
                <w:szCs w:val="20"/>
                <w:lang w:val="en-US" w:eastAsia="zh-CN"/>
              </w:rPr>
              <w:t>分353</w:t>
            </w:r>
            <w:r>
              <w:rPr>
                <w:rFonts w:hint="eastAsia" w:ascii="宋体" w:hAnsi="宋体" w:eastAsia="宋体" w:cs="宋体"/>
                <w:spacing w:val="-14"/>
                <w:kern w:val="0"/>
                <w:sz w:val="20"/>
                <w:szCs w:val="20"/>
              </w:rPr>
              <w:t>人，共留置</w:t>
            </w:r>
            <w:r>
              <w:rPr>
                <w:rFonts w:hint="eastAsia" w:ascii="宋体" w:hAnsi="宋体" w:eastAsia="宋体" w:cs="宋体"/>
                <w:spacing w:val="-14"/>
                <w:kern w:val="0"/>
                <w:sz w:val="20"/>
                <w:szCs w:val="20"/>
                <w:lang w:val="en-US" w:eastAsia="zh-CN"/>
              </w:rPr>
              <w:t>14</w:t>
            </w:r>
            <w:r>
              <w:rPr>
                <w:rFonts w:hint="eastAsia" w:ascii="宋体" w:hAnsi="宋体" w:eastAsia="宋体" w:cs="宋体"/>
                <w:spacing w:val="-14"/>
                <w:kern w:val="0"/>
                <w:sz w:val="20"/>
                <w:szCs w:val="20"/>
              </w:rPr>
              <w:t>人</w:t>
            </w:r>
            <w:r>
              <w:rPr>
                <w:rFonts w:hint="eastAsia" w:ascii="宋体" w:hAnsi="宋体" w:eastAsia="宋体" w:cs="宋体"/>
                <w:spacing w:val="-14"/>
                <w:kern w:val="0"/>
                <w:sz w:val="20"/>
                <w:szCs w:val="20"/>
                <w:lang w:eastAsia="zh-CN"/>
              </w:rPr>
              <w:t>，</w:t>
            </w:r>
            <w:r>
              <w:rPr>
                <w:rFonts w:hint="eastAsia" w:ascii="宋体" w:hAnsi="宋体" w:eastAsia="宋体" w:cs="宋体"/>
                <w:spacing w:val="-14"/>
                <w:kern w:val="0"/>
                <w:sz w:val="20"/>
                <w:szCs w:val="20"/>
              </w:rPr>
              <w:t>其中，立案科级干部</w:t>
            </w:r>
            <w:r>
              <w:rPr>
                <w:rFonts w:hint="eastAsia" w:ascii="宋体" w:hAnsi="宋体" w:eastAsia="宋体" w:cs="宋体"/>
                <w:spacing w:val="-14"/>
                <w:kern w:val="0"/>
                <w:sz w:val="20"/>
                <w:szCs w:val="20"/>
                <w:lang w:val="en-US" w:eastAsia="zh-CN"/>
              </w:rPr>
              <w:t>34件，处分</w:t>
            </w:r>
            <w:r>
              <w:rPr>
                <w:rFonts w:hint="eastAsia" w:ascii="宋体" w:hAnsi="宋体" w:eastAsia="宋体" w:cs="宋体"/>
                <w:spacing w:val="-14"/>
                <w:kern w:val="0"/>
                <w:sz w:val="20"/>
                <w:szCs w:val="20"/>
              </w:rPr>
              <w:t>科级干部</w:t>
            </w:r>
            <w:r>
              <w:rPr>
                <w:rFonts w:hint="eastAsia" w:ascii="宋体" w:hAnsi="宋体" w:eastAsia="宋体" w:cs="宋体"/>
                <w:spacing w:val="-14"/>
                <w:kern w:val="0"/>
                <w:sz w:val="20"/>
                <w:szCs w:val="20"/>
                <w:lang w:val="en-US" w:eastAsia="zh-CN"/>
              </w:rPr>
              <w:t>39</w:t>
            </w:r>
            <w:r>
              <w:rPr>
                <w:rFonts w:hint="eastAsia" w:ascii="宋体" w:hAnsi="宋体" w:eastAsia="宋体" w:cs="宋体"/>
                <w:spacing w:val="-14"/>
                <w:kern w:val="0"/>
                <w:sz w:val="20"/>
                <w:szCs w:val="20"/>
              </w:rPr>
              <w:t>人；初核成案率为</w:t>
            </w:r>
            <w:r>
              <w:rPr>
                <w:rFonts w:hint="eastAsia" w:ascii="宋体" w:hAnsi="宋体" w:eastAsia="宋体" w:cs="宋体"/>
                <w:spacing w:val="-14"/>
                <w:kern w:val="0"/>
                <w:sz w:val="20"/>
                <w:szCs w:val="20"/>
                <w:lang w:val="en-US" w:eastAsia="zh-CN"/>
              </w:rPr>
              <w:t>86.6</w:t>
            </w:r>
            <w:r>
              <w:rPr>
                <w:rFonts w:hint="eastAsia" w:ascii="宋体" w:hAnsi="宋体" w:eastAsia="宋体" w:cs="宋体"/>
                <w:spacing w:val="-14"/>
                <w:kern w:val="0"/>
                <w:sz w:val="20"/>
                <w:szCs w:val="20"/>
              </w:rPr>
              <w:t>%；涉嫌犯罪移送检察机关审查起诉</w:t>
            </w:r>
            <w:r>
              <w:rPr>
                <w:rFonts w:hint="eastAsia" w:ascii="宋体" w:hAnsi="宋体" w:eastAsia="宋体" w:cs="宋体"/>
                <w:spacing w:val="-14"/>
                <w:kern w:val="0"/>
                <w:sz w:val="20"/>
                <w:szCs w:val="20"/>
                <w:lang w:val="en-US" w:eastAsia="zh-CN"/>
              </w:rPr>
              <w:t>10</w:t>
            </w:r>
            <w:r>
              <w:rPr>
                <w:rFonts w:hint="eastAsia" w:ascii="宋体" w:hAnsi="宋体" w:eastAsia="宋体" w:cs="宋体"/>
                <w:spacing w:val="-14"/>
                <w:kern w:val="0"/>
                <w:sz w:val="20"/>
                <w:szCs w:val="20"/>
              </w:rPr>
              <w:t>人</w:t>
            </w:r>
            <w:r>
              <w:rPr>
                <w:rFonts w:hint="eastAsia" w:ascii="宋体" w:hAnsi="宋体" w:eastAsia="宋体" w:cs="宋体"/>
                <w:spacing w:val="-14"/>
                <w:kern w:val="0"/>
                <w:sz w:val="20"/>
                <w:szCs w:val="20"/>
                <w:lang w:val="en-US" w:eastAsia="zh-CN"/>
              </w:rPr>
              <w:t xml:space="preserve"> </w:t>
            </w:r>
            <w:r>
              <w:rPr>
                <w:rFonts w:hint="eastAsia" w:ascii="宋体" w:hAnsi="宋体" w:eastAsia="宋体" w:cs="宋体"/>
                <w:spacing w:val="-14"/>
                <w:kern w:val="0"/>
                <w:sz w:val="20"/>
                <w:szCs w:val="20"/>
              </w:rPr>
              <w:t>；收缴违纪违法资金</w:t>
            </w:r>
            <w:r>
              <w:rPr>
                <w:rFonts w:hint="eastAsia" w:ascii="宋体" w:hAnsi="宋体" w:eastAsia="宋体" w:cs="宋体"/>
                <w:spacing w:val="-14"/>
                <w:kern w:val="0"/>
                <w:sz w:val="20"/>
                <w:szCs w:val="20"/>
                <w:lang w:val="en-US" w:eastAsia="zh-CN"/>
              </w:rPr>
              <w:t>918.4</w:t>
            </w:r>
            <w:r>
              <w:rPr>
                <w:rFonts w:hint="eastAsia" w:ascii="宋体" w:hAnsi="宋体" w:eastAsia="宋体" w:cs="宋体"/>
                <w:spacing w:val="-14"/>
                <w:kern w:val="0"/>
                <w:sz w:val="20"/>
                <w:szCs w:val="20"/>
              </w:rPr>
              <w:t>万元</w:t>
            </w:r>
            <w:r>
              <w:rPr>
                <w:rFonts w:hint="eastAsia" w:ascii="宋体" w:hAnsi="宋体" w:eastAsia="宋体" w:cs="宋体"/>
                <w:spacing w:val="-14"/>
                <w:kern w:val="0"/>
                <w:sz w:val="20"/>
                <w:szCs w:val="20"/>
                <w:lang w:eastAsia="zh-CN"/>
              </w:rPr>
              <w:t>，</w:t>
            </w:r>
            <w:r>
              <w:rPr>
                <w:rFonts w:hint="eastAsia" w:ascii="宋体" w:hAnsi="宋体" w:eastAsia="宋体" w:cs="宋体"/>
                <w:spacing w:val="-14"/>
                <w:kern w:val="0"/>
                <w:sz w:val="20"/>
                <w:szCs w:val="20"/>
              </w:rPr>
              <w:t>挽回经济损失</w:t>
            </w:r>
            <w:r>
              <w:rPr>
                <w:rFonts w:hint="eastAsia" w:ascii="宋体" w:hAnsi="宋体" w:eastAsia="宋体" w:cs="宋体"/>
                <w:spacing w:val="-14"/>
                <w:kern w:val="0"/>
                <w:sz w:val="20"/>
                <w:szCs w:val="20"/>
                <w:lang w:val="en-US" w:eastAsia="zh-CN"/>
              </w:rPr>
              <w:t>2134.57</w:t>
            </w:r>
            <w:r>
              <w:rPr>
                <w:rFonts w:hint="eastAsia" w:ascii="宋体" w:hAnsi="宋体" w:eastAsia="宋体" w:cs="宋体"/>
                <w:spacing w:val="-14"/>
                <w:kern w:val="0"/>
                <w:sz w:val="20"/>
                <w:szCs w:val="20"/>
              </w:rPr>
              <w:t>余万元</w:t>
            </w:r>
            <w:r>
              <w:rPr>
                <w:rFonts w:hint="eastAsia" w:ascii="宋体" w:hAnsi="宋体" w:eastAsia="宋体" w:cs="宋体"/>
                <w:spacing w:val="-1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完成及时率（6分）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项目实际提前完成时间与计划完成时间的比率，用以反映和考核项目产出时效目标的实现程度。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完成及时率=[（计划完成时间-实际完成时间）/计划完成时间]×100%。（1--4季度各得1.5分）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实际完成时间：项目实施单位完成该项目实际所耗用的时间。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计划完成时间：按照项目实施计划或相关规定完成该项目所需的时间。</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办案工作有计划,分阶段推进,分管领导,各室负责人督促办理进度</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质量达标率（5分）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项目完成的质量达标产出数与实际产出数的比率，用以反映和考核项目产出质量目标的实现程度。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质量达标率=（质量达标产出数/实际产出数）×100%。（得分=达标率*5分）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质量达标产出数：一定时期（本年度或项目期）内实际达到既定质量标准的产品或服务数量。</w:t>
            </w:r>
            <w:r>
              <w:rPr>
                <w:rFonts w:hint="eastAsia" w:ascii="宋体" w:hAnsi="宋体" w:eastAsia="宋体" w:cs="宋体"/>
                <w:kern w:val="0"/>
                <w:sz w:val="20"/>
                <w:szCs w:val="20"/>
              </w:rPr>
              <w:br w:type="textWrapping"/>
            </w:r>
            <w:r>
              <w:rPr>
                <w:rFonts w:hint="eastAsia" w:ascii="宋体" w:hAnsi="宋体" w:eastAsia="宋体" w:cs="宋体"/>
                <w:spacing w:val="-10"/>
                <w:kern w:val="0"/>
                <w:sz w:val="20"/>
                <w:szCs w:val="20"/>
              </w:rPr>
              <w:t>既定质量标准是指项目实施单位设立绩效目标时依据计划标准、行业标准、历史标准或其他标准而设定的绩效指标值。</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default" w:ascii="宋体" w:hAnsi="宋体" w:eastAsia="宋体" w:cs="宋体"/>
                <w:kern w:val="0"/>
                <w:sz w:val="20"/>
                <w:szCs w:val="20"/>
                <w:lang w:val="en-US" w:eastAsia="zh-CN"/>
              </w:rPr>
            </w:pPr>
            <w:r>
              <w:rPr>
                <w:rFonts w:hint="eastAsia" w:ascii="宋体" w:hAnsi="宋体" w:eastAsia="宋体" w:cs="宋体"/>
                <w:color w:val="000000"/>
                <w:kern w:val="0"/>
                <w:sz w:val="18"/>
                <w:szCs w:val="18"/>
              </w:rPr>
              <w:t>初核转立案率</w:t>
            </w:r>
            <w:r>
              <w:rPr>
                <w:rFonts w:hint="eastAsia" w:ascii="宋体" w:hAnsi="宋体" w:eastAsia="宋体" w:cs="宋体"/>
                <w:color w:val="000000"/>
                <w:kern w:val="0"/>
                <w:sz w:val="18"/>
                <w:szCs w:val="18"/>
                <w:lang w:val="en-US" w:eastAsia="zh-CN"/>
              </w:rPr>
              <w:t>86.6%，人均查处数2.23人，办案安全事故0件，</w:t>
            </w:r>
            <w:r>
              <w:rPr>
                <w:rFonts w:hint="eastAsia" w:ascii="宋体" w:hAnsi="宋体" w:eastAsia="宋体" w:cs="宋体"/>
                <w:kern w:val="0"/>
                <w:sz w:val="20"/>
                <w:szCs w:val="20"/>
              </w:rPr>
              <w:t>质量达标率</w:t>
            </w:r>
            <w:r>
              <w:rPr>
                <w:rFonts w:hint="eastAsia" w:ascii="宋体" w:hAnsi="宋体" w:eastAsia="宋体" w:cs="宋体"/>
                <w:kern w:val="0"/>
                <w:sz w:val="20"/>
                <w:szCs w:val="20"/>
                <w:lang w:val="en-US" w:eastAsia="zh-CN"/>
              </w:rPr>
              <w:t>为100%。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成本节约率（5分）</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完成项目计划工作目标的实际节约成本与计划成</w:t>
            </w:r>
            <w:r>
              <w:rPr>
                <w:rFonts w:hint="eastAsia" w:ascii="宋体" w:hAnsi="宋体" w:eastAsia="宋体" w:cs="宋体"/>
                <w:kern w:val="0"/>
                <w:position w:val="-4"/>
                <w:sz w:val="20"/>
                <w:szCs w:val="20"/>
              </w:rPr>
              <w:t>本</w:t>
            </w:r>
            <w:r>
              <w:rPr>
                <w:rFonts w:hint="eastAsia" w:ascii="宋体" w:hAnsi="宋体" w:eastAsia="宋体" w:cs="宋体"/>
                <w:kern w:val="0"/>
                <w:sz w:val="20"/>
                <w:szCs w:val="20"/>
              </w:rPr>
              <w:t>的比率，用以反映和考核项目的成本节约程度。</w:t>
            </w:r>
          </w:p>
        </w:tc>
        <w:tc>
          <w:tcPr>
            <w:tcW w:w="1671"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成本节约率=[（计划成本-实际成本）/计划成本]×100%。(节约的计5分,增加的按比例扣分)</w:t>
            </w:r>
            <w:r>
              <w:rPr>
                <w:rFonts w:hint="eastAsia" w:ascii="宋体" w:hAnsi="宋体" w:eastAsia="宋体" w:cs="宋体"/>
                <w:kern w:val="0"/>
                <w:sz w:val="20"/>
                <w:szCs w:val="20"/>
              </w:rPr>
              <w:br w:type="textWrapping"/>
            </w:r>
            <w:r>
              <w:rPr>
                <w:rFonts w:hint="eastAsia" w:ascii="宋体" w:hAnsi="宋体" w:eastAsia="宋体" w:cs="宋体"/>
                <w:spacing w:val="-10"/>
                <w:kern w:val="0"/>
                <w:sz w:val="20"/>
                <w:szCs w:val="20"/>
              </w:rPr>
              <w:t>实际成本：项目实施单位如期、保质、保量完成既定工作目标实际所耗费的支出。</w:t>
            </w:r>
            <w:r>
              <w:rPr>
                <w:rFonts w:hint="eastAsia" w:ascii="宋体" w:hAnsi="宋体" w:eastAsia="宋体" w:cs="宋体"/>
                <w:spacing w:val="-10"/>
                <w:kern w:val="0"/>
                <w:sz w:val="20"/>
                <w:szCs w:val="20"/>
              </w:rPr>
              <w:br w:type="textWrapping"/>
            </w:r>
            <w:r>
              <w:rPr>
                <w:rFonts w:hint="eastAsia" w:ascii="宋体" w:hAnsi="宋体" w:eastAsia="宋体" w:cs="宋体"/>
                <w:spacing w:val="-10"/>
                <w:kern w:val="0"/>
                <w:sz w:val="20"/>
                <w:szCs w:val="20"/>
              </w:rPr>
              <w:t>计划成本：项目实施单位为完成工作目标计划安排的支出，一般以项目预算为参考。</w:t>
            </w: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260万元-200.35万元/260万元</w:t>
            </w:r>
            <w:r>
              <w:rPr>
                <w:rFonts w:hint="eastAsia" w:ascii="宋体" w:hAnsi="宋体" w:eastAsia="宋体" w:cs="宋体"/>
                <w:kern w:val="0"/>
                <w:sz w:val="20"/>
                <w:szCs w:val="20"/>
              </w:rPr>
              <w:t>×100%</w:t>
            </w:r>
            <w:r>
              <w:rPr>
                <w:rFonts w:hint="eastAsia" w:ascii="宋体" w:hAnsi="宋体" w:eastAsia="宋体" w:cs="宋体"/>
                <w:kern w:val="0"/>
                <w:sz w:val="20"/>
                <w:szCs w:val="20"/>
                <w:lang w:val="en-US" w:eastAsia="zh-CN"/>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效果（30分）</w:t>
            </w:r>
          </w:p>
        </w:tc>
        <w:tc>
          <w:tcPr>
            <w:tcW w:w="292"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效益（</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0分）</w:t>
            </w: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经济效益(</w:t>
            </w:r>
          </w:p>
        </w:tc>
        <w:tc>
          <w:tcPr>
            <w:tcW w:w="956" w:type="pct"/>
            <w:shd w:val="clear" w:color="000000" w:fill="FFFFFF"/>
            <w:noWrap w:val="0"/>
            <w:vAlign w:val="center"/>
          </w:tcPr>
          <w:p>
            <w:pPr>
              <w:widowControl/>
              <w:jc w:val="both"/>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项目实施对经济发展所带来的直接或间接影响情况。</w:t>
            </w:r>
          </w:p>
          <w:p>
            <w:pPr>
              <w:widowControl/>
              <w:jc w:val="both"/>
              <w:rPr>
                <w:rFonts w:hint="eastAsia" w:ascii="宋体" w:hAnsi="宋体" w:eastAsia="宋体" w:cs="宋体"/>
                <w:spacing w:val="-10"/>
                <w:kern w:val="0"/>
                <w:sz w:val="20"/>
                <w:szCs w:val="20"/>
              </w:rPr>
            </w:pPr>
          </w:p>
        </w:tc>
        <w:tc>
          <w:tcPr>
            <w:tcW w:w="1671" w:type="pct"/>
            <w:vMerge w:val="restart"/>
            <w:shd w:val="clear" w:color="000000" w:fill="FFFFFF"/>
            <w:noWrap w:val="0"/>
            <w:vAlign w:val="center"/>
          </w:tcPr>
          <w:p>
            <w:pPr>
              <w:widowControl/>
              <w:jc w:val="both"/>
              <w:rPr>
                <w:rFonts w:hint="eastAsia" w:ascii="宋体" w:hAnsi="宋体" w:eastAsia="宋体" w:cs="宋体"/>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r>
              <w:rPr>
                <w:rFonts w:hint="eastAsia" w:ascii="宋体" w:hAnsi="宋体" w:eastAsia="宋体" w:cs="宋体"/>
                <w:kern w:val="0"/>
                <w:sz w:val="20"/>
                <w:szCs w:val="20"/>
              </w:rPr>
              <w:t>）</w:t>
            </w:r>
          </w:p>
        </w:tc>
        <w:tc>
          <w:tcPr>
            <w:tcW w:w="314" w:type="pct"/>
            <w:noWrap/>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8</w:t>
            </w:r>
          </w:p>
        </w:tc>
        <w:tc>
          <w:tcPr>
            <w:tcW w:w="1084" w:type="pct"/>
            <w:noWrap/>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收缴违纪违法资金</w:t>
            </w:r>
            <w:r>
              <w:rPr>
                <w:rFonts w:hint="eastAsia" w:ascii="宋体" w:hAnsi="宋体" w:eastAsia="宋体" w:cs="宋体"/>
                <w:kern w:val="0"/>
                <w:sz w:val="20"/>
                <w:szCs w:val="20"/>
                <w:lang w:val="en-US" w:eastAsia="zh-CN"/>
              </w:rPr>
              <w:t>918.4</w:t>
            </w:r>
            <w:r>
              <w:rPr>
                <w:rFonts w:hint="eastAsia" w:ascii="宋体" w:hAnsi="宋体" w:eastAsia="宋体" w:cs="宋体"/>
                <w:kern w:val="0"/>
                <w:sz w:val="20"/>
                <w:szCs w:val="20"/>
              </w:rPr>
              <w:t>万元</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挽回经济损失</w:t>
            </w:r>
            <w:r>
              <w:rPr>
                <w:rFonts w:hint="eastAsia" w:ascii="宋体" w:hAnsi="宋体" w:eastAsia="宋体" w:cs="宋体"/>
                <w:kern w:val="0"/>
                <w:sz w:val="20"/>
                <w:szCs w:val="20"/>
                <w:lang w:val="en-US" w:eastAsia="zh-CN"/>
              </w:rPr>
              <w:t>2134.57</w:t>
            </w:r>
            <w:r>
              <w:rPr>
                <w:rFonts w:hint="eastAsia" w:ascii="宋体" w:hAnsi="宋体" w:eastAsia="宋体" w:cs="宋体"/>
                <w:kern w:val="0"/>
                <w:sz w:val="20"/>
                <w:szCs w:val="20"/>
              </w:rPr>
              <w:t>余万元</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社会效益</w:t>
            </w:r>
          </w:p>
        </w:tc>
        <w:tc>
          <w:tcPr>
            <w:tcW w:w="956" w:type="pct"/>
            <w:shd w:val="clear" w:color="000000" w:fill="FFFFFF"/>
            <w:noWrap w:val="0"/>
            <w:vAlign w:val="center"/>
          </w:tcPr>
          <w:p>
            <w:pPr>
              <w:widowControl/>
              <w:jc w:val="both"/>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项目实施对社会发展所带来的直接或间接影响情况。</w:t>
            </w:r>
          </w:p>
        </w:tc>
        <w:tc>
          <w:tcPr>
            <w:tcW w:w="1671" w:type="pct"/>
            <w:vMerge w:val="continue"/>
            <w:noWrap w:val="0"/>
            <w:vAlign w:val="center"/>
          </w:tcPr>
          <w:p>
            <w:pPr>
              <w:widowControl/>
              <w:jc w:val="both"/>
              <w:rPr>
                <w:rFonts w:hint="eastAsia" w:ascii="宋体" w:hAnsi="宋体" w:eastAsia="宋体" w:cs="宋体"/>
                <w:kern w:val="0"/>
                <w:sz w:val="20"/>
                <w:szCs w:val="20"/>
              </w:rPr>
            </w:pPr>
          </w:p>
        </w:tc>
        <w:tc>
          <w:tcPr>
            <w:tcW w:w="314" w:type="pct"/>
            <w:noWrap/>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7</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惩贪治腐,营造干部清正、政府清廉、政治清明、社会清新的环境</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生态效益</w:t>
            </w:r>
          </w:p>
        </w:tc>
        <w:tc>
          <w:tcPr>
            <w:tcW w:w="956" w:type="pct"/>
            <w:shd w:val="clear" w:color="000000" w:fill="FFFFFF"/>
            <w:noWrap w:val="0"/>
            <w:vAlign w:val="center"/>
          </w:tcPr>
          <w:p>
            <w:pPr>
              <w:widowControl/>
              <w:jc w:val="both"/>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项目实施对生态环境所带来的直接或间接影响情况。</w:t>
            </w:r>
          </w:p>
        </w:tc>
        <w:tc>
          <w:tcPr>
            <w:tcW w:w="1671" w:type="pct"/>
            <w:vMerge w:val="continue"/>
            <w:noWrap w:val="0"/>
            <w:vAlign w:val="center"/>
          </w:tcPr>
          <w:p>
            <w:pPr>
              <w:widowControl/>
              <w:jc w:val="both"/>
              <w:rPr>
                <w:rFonts w:hint="eastAsia" w:ascii="宋体" w:hAnsi="宋体" w:eastAsia="宋体" w:cs="宋体"/>
                <w:kern w:val="0"/>
                <w:sz w:val="20"/>
                <w:szCs w:val="20"/>
              </w:rPr>
            </w:pPr>
          </w:p>
        </w:tc>
        <w:tc>
          <w:tcPr>
            <w:tcW w:w="314" w:type="pct"/>
            <w:noWrap/>
            <w:vAlign w:val="center"/>
          </w:tcPr>
          <w:p>
            <w:pPr>
              <w:widowControl/>
              <w:jc w:val="center"/>
              <w:rPr>
                <w:rFonts w:hint="eastAsia" w:ascii="宋体" w:hAnsi="宋体" w:eastAsia="宋体" w:cs="宋体"/>
                <w:kern w:val="0"/>
                <w:sz w:val="20"/>
                <w:szCs w:val="20"/>
                <w:lang w:val="en-US" w:eastAsia="zh-CN"/>
              </w:rPr>
            </w:pPr>
          </w:p>
        </w:tc>
        <w:tc>
          <w:tcPr>
            <w:tcW w:w="1084" w:type="pct"/>
            <w:noWrap/>
            <w:vAlign w:val="center"/>
          </w:tcPr>
          <w:p>
            <w:pPr>
              <w:widowControl/>
              <w:jc w:val="both"/>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9"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可持续影响</w:t>
            </w:r>
          </w:p>
        </w:tc>
        <w:tc>
          <w:tcPr>
            <w:tcW w:w="956" w:type="pct"/>
            <w:shd w:val="clear" w:color="000000" w:fill="FFFFFF"/>
            <w:noWrap w:val="0"/>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项目后续运行及成效发挥的可持续影响情况。</w:t>
            </w:r>
          </w:p>
          <w:p>
            <w:pPr>
              <w:widowControl/>
              <w:jc w:val="both"/>
              <w:rPr>
                <w:rFonts w:hint="eastAsia" w:ascii="宋体" w:hAnsi="宋体" w:eastAsia="宋体" w:cs="宋体"/>
                <w:kern w:val="0"/>
                <w:sz w:val="20"/>
                <w:szCs w:val="20"/>
              </w:rPr>
            </w:pPr>
          </w:p>
        </w:tc>
        <w:tc>
          <w:tcPr>
            <w:tcW w:w="1671" w:type="pct"/>
            <w:vMerge w:val="continue"/>
            <w:noWrap w:val="0"/>
            <w:vAlign w:val="center"/>
          </w:tcPr>
          <w:p>
            <w:pPr>
              <w:widowControl/>
              <w:jc w:val="both"/>
              <w:rPr>
                <w:rFonts w:hint="eastAsia" w:ascii="宋体" w:hAnsi="宋体" w:eastAsia="宋体" w:cs="宋体"/>
                <w:kern w:val="0"/>
                <w:sz w:val="20"/>
                <w:szCs w:val="20"/>
              </w:rPr>
            </w:pPr>
          </w:p>
        </w:tc>
        <w:tc>
          <w:tcPr>
            <w:tcW w:w="314"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084" w:type="pct"/>
            <w:noWrap/>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rPr>
              <w:t>一体推进不敢腐,不能腐,不想腐,推进全面从严治党向纵深发展</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33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292" w:type="pct"/>
            <w:shd w:val="clear" w:color="auto" w:fill="auto"/>
            <w:noWrap w:val="0"/>
            <w:vAlign w:val="center"/>
          </w:tcPr>
          <w:p>
            <w:pPr>
              <w:widowControl/>
              <w:jc w:val="center"/>
              <w:rPr>
                <w:rFonts w:hint="eastAsia" w:ascii="宋体" w:hAnsi="宋体" w:eastAsia="宋体" w:cs="宋体"/>
                <w:kern w:val="0"/>
                <w:sz w:val="20"/>
                <w:szCs w:val="20"/>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349" w:type="pct"/>
            <w:shd w:val="clear" w:color="000000" w:fill="FFFFFF"/>
            <w:noWrap w:val="0"/>
            <w:vAlign w:val="center"/>
          </w:tcPr>
          <w:p>
            <w:pPr>
              <w:widowControl/>
              <w:jc w:val="left"/>
              <w:rPr>
                <w:rFonts w:hint="eastAsia"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956"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1671"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314"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1084" w:type="pct"/>
            <w:noWrap/>
            <w:vAlign w:val="center"/>
          </w:tcPr>
          <w:p>
            <w:pPr>
              <w:widowControl/>
              <w:jc w:val="both"/>
              <w:rPr>
                <w:rFonts w:hint="eastAsia" w:ascii="宋体" w:hAnsi="宋体" w:eastAsia="宋体" w:cs="宋体"/>
                <w:kern w:val="0"/>
                <w:sz w:val="20"/>
                <w:szCs w:val="20"/>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年度党风廉政建设满意度测评排名</w:t>
            </w:r>
            <w:r>
              <w:rPr>
                <w:rFonts w:hint="eastAsia" w:ascii="宋体" w:hAnsi="宋体" w:eastAsia="宋体" w:cs="宋体"/>
                <w:kern w:val="0"/>
                <w:sz w:val="20"/>
                <w:szCs w:val="20"/>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600" w:type="pct"/>
            <w:gridSpan w:val="5"/>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314"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w:t>
            </w:r>
          </w:p>
        </w:tc>
        <w:tc>
          <w:tcPr>
            <w:tcW w:w="1084" w:type="pct"/>
            <w:noWrap/>
            <w:vAlign w:val="center"/>
          </w:tcPr>
          <w:p>
            <w:pPr>
              <w:widowControl/>
              <w:jc w:val="center"/>
              <w:rPr>
                <w:rFonts w:hint="eastAsia" w:ascii="宋体" w:hAnsi="宋体" w:eastAsia="宋体" w:cs="宋体"/>
                <w:kern w:val="0"/>
                <w:sz w:val="20"/>
                <w:szCs w:val="20"/>
              </w:rPr>
            </w:pPr>
          </w:p>
        </w:tc>
      </w:tr>
    </w:tbl>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spacing w:line="620" w:lineRule="exact"/>
        <w:jc w:val="left"/>
        <w:rPr>
          <w:rFonts w:hint="eastAsia" w:ascii="宋体" w:hAnsi="宋体" w:eastAsia="方正黑体_GBK" w:cs="方正黑体_GBK"/>
          <w:bCs/>
          <w:kern w:val="0"/>
          <w:sz w:val="32"/>
          <w:szCs w:val="32"/>
          <w:lang w:val="en-US" w:eastAsia="zh-CN"/>
        </w:rPr>
      </w:pPr>
      <w:r>
        <w:rPr>
          <w:rFonts w:hint="eastAsia" w:ascii="宋体" w:hAnsi="宋体" w:eastAsia="方正黑体_GBK" w:cs="方正黑体_GBK"/>
          <w:bCs/>
          <w:kern w:val="0"/>
          <w:sz w:val="32"/>
          <w:szCs w:val="32"/>
          <w:lang w:val="en-US" w:eastAsia="zh-CN"/>
        </w:rPr>
        <w:t>附件2-2</w:t>
      </w:r>
    </w:p>
    <w:p>
      <w:pPr>
        <w:spacing w:line="620" w:lineRule="exact"/>
        <w:jc w:val="center"/>
        <w:rPr>
          <w:rFonts w:hint="eastAsia" w:ascii="黑体" w:hAnsi="黑体" w:eastAsia="黑体" w:cs="黑体"/>
          <w:color w:val="000000"/>
          <w:spacing w:val="-12"/>
          <w:kern w:val="0"/>
          <w:sz w:val="40"/>
          <w:szCs w:val="40"/>
        </w:rPr>
      </w:pPr>
      <w:r>
        <w:rPr>
          <w:rFonts w:hint="eastAsia" w:ascii="黑体" w:hAnsi="黑体" w:eastAsia="黑体" w:cs="黑体"/>
          <w:color w:val="000000"/>
          <w:spacing w:val="-12"/>
          <w:kern w:val="0"/>
          <w:sz w:val="40"/>
          <w:szCs w:val="40"/>
        </w:rPr>
        <w:t>202</w:t>
      </w:r>
      <w:r>
        <w:rPr>
          <w:rFonts w:hint="eastAsia" w:ascii="黑体" w:hAnsi="黑体" w:eastAsia="黑体" w:cs="黑体"/>
          <w:color w:val="000000"/>
          <w:spacing w:val="-12"/>
          <w:kern w:val="0"/>
          <w:sz w:val="40"/>
          <w:szCs w:val="40"/>
          <w:lang w:val="en-US" w:eastAsia="zh-CN"/>
        </w:rPr>
        <w:t>3</w:t>
      </w:r>
      <w:r>
        <w:rPr>
          <w:rFonts w:hint="eastAsia" w:ascii="黑体" w:hAnsi="黑体" w:eastAsia="黑体" w:cs="黑体"/>
          <w:color w:val="000000"/>
          <w:spacing w:val="-12"/>
          <w:kern w:val="0"/>
          <w:sz w:val="40"/>
          <w:szCs w:val="40"/>
        </w:rPr>
        <w:t>年度安岳县项目支出绩效目标完成情况表</w:t>
      </w:r>
    </w:p>
    <w:p>
      <w:pPr>
        <w:pStyle w:val="2"/>
      </w:pPr>
    </w:p>
    <w:tbl>
      <w:tblPr>
        <w:tblStyle w:val="18"/>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964"/>
        <w:gridCol w:w="1207"/>
        <w:gridCol w:w="551"/>
        <w:gridCol w:w="995"/>
        <w:gridCol w:w="1105"/>
        <w:gridCol w:w="144"/>
        <w:gridCol w:w="19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8075" w:type="dxa"/>
            <w:gridSpan w:val="9"/>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纪委办案专项经费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类型</w:t>
            </w: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产业发展</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民生</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保障</w:t>
            </w:r>
          </w:p>
        </w:tc>
        <w:tc>
          <w:tcPr>
            <w:tcW w:w="2753"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基础设施</w:t>
            </w:r>
          </w:p>
        </w:tc>
        <w:tc>
          <w:tcPr>
            <w:tcW w:w="3158"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8"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964" w:type="dxa"/>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w:t>
            </w:r>
          </w:p>
        </w:tc>
        <w:tc>
          <w:tcPr>
            <w:tcW w:w="2753" w:type="dxa"/>
            <w:gridSpan w:val="3"/>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w:t>
            </w:r>
          </w:p>
        </w:tc>
        <w:tc>
          <w:tcPr>
            <w:tcW w:w="3158" w:type="dxa"/>
            <w:gridSpan w:val="3"/>
            <w:noWrap/>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部门（单位）名称</w:t>
            </w:r>
          </w:p>
        </w:tc>
        <w:tc>
          <w:tcPr>
            <w:tcW w:w="4917" w:type="dxa"/>
            <w:gridSpan w:val="6"/>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中国共产党安岳县纪律检查委员会</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预算单位编码</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07"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预算执行情况</w:t>
            </w: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预算额(百元)</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执行额(百元)</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当年结转结余额(百元)</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结转结余率%</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964" w:type="dxa"/>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20035</w:t>
            </w:r>
          </w:p>
        </w:tc>
        <w:tc>
          <w:tcPr>
            <w:tcW w:w="1207" w:type="dxa"/>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20035</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w:t>
            </w:r>
          </w:p>
        </w:tc>
        <w:tc>
          <w:tcPr>
            <w:tcW w:w="964"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20035</w:t>
            </w:r>
          </w:p>
        </w:tc>
        <w:tc>
          <w:tcPr>
            <w:tcW w:w="1207" w:type="dxa"/>
            <w:noWrap/>
            <w:vAlign w:val="center"/>
          </w:tcPr>
          <w:p>
            <w:pPr>
              <w:widowControl/>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20035</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其他资金</w:t>
            </w:r>
          </w:p>
        </w:tc>
        <w:tc>
          <w:tcPr>
            <w:tcW w:w="964"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07"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546" w:type="dxa"/>
            <w:gridSpan w:val="2"/>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249" w:type="dxa"/>
            <w:gridSpan w:val="2"/>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1909"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3"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财政拨款结构</w:t>
            </w: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一般公共预算安排</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政府性基金预算安排</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国有资本经营预算安排</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预算额</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(百元)</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20035</w:t>
            </w:r>
          </w:p>
        </w:tc>
        <w:tc>
          <w:tcPr>
            <w:tcW w:w="1207" w:type="dxa"/>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20035</w:t>
            </w:r>
          </w:p>
        </w:tc>
        <w:tc>
          <w:tcPr>
            <w:tcW w:w="1546" w:type="dxa"/>
            <w:gridSpan w:val="2"/>
            <w:noWrap/>
            <w:vAlign w:val="center"/>
          </w:tcPr>
          <w:p>
            <w:pPr>
              <w:widowControl/>
              <w:jc w:val="center"/>
              <w:rPr>
                <w:rFonts w:hint="eastAsia" w:ascii="宋体" w:hAnsi="宋体" w:eastAsia="宋体" w:cs="宋体"/>
                <w:color w:val="000000"/>
                <w:kern w:val="0"/>
                <w:sz w:val="18"/>
                <w:szCs w:val="18"/>
              </w:rPr>
            </w:pP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执行额</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(百元)</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20035</w:t>
            </w:r>
          </w:p>
        </w:tc>
        <w:tc>
          <w:tcPr>
            <w:tcW w:w="1207" w:type="dxa"/>
            <w:noWrap/>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20035</w:t>
            </w:r>
          </w:p>
        </w:tc>
        <w:tc>
          <w:tcPr>
            <w:tcW w:w="1546" w:type="dxa"/>
            <w:gridSpan w:val="2"/>
            <w:noWrap/>
            <w:vAlign w:val="center"/>
          </w:tcPr>
          <w:p>
            <w:pPr>
              <w:widowControl/>
              <w:jc w:val="center"/>
              <w:rPr>
                <w:rFonts w:hint="eastAsia" w:ascii="宋体" w:hAnsi="宋体" w:eastAsia="宋体" w:cs="宋体"/>
                <w:color w:val="000000"/>
                <w:kern w:val="0"/>
                <w:sz w:val="18"/>
                <w:szCs w:val="18"/>
                <w:lang w:val="en-US" w:eastAsia="zh-CN" w:bidi="ar-SA"/>
              </w:rPr>
            </w:pP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当年结转结余额(百元)</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结转结余率%</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1200"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结转结余变动率%</w:t>
            </w:r>
          </w:p>
        </w:tc>
        <w:tc>
          <w:tcPr>
            <w:tcW w:w="964"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0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546"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49"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909"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24"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2164"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w:t>
            </w:r>
          </w:p>
        </w:tc>
        <w:tc>
          <w:tcPr>
            <w:tcW w:w="2753"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预算总体目标执行结果</w:t>
            </w:r>
          </w:p>
        </w:tc>
        <w:tc>
          <w:tcPr>
            <w:tcW w:w="3158"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801"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2164" w:type="dxa"/>
            <w:gridSpan w:val="3"/>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通过全面从严治党，构建惩治和预防腐败体系，查办案件，抓好主责主业，落实好监督执纪问责责任，营造"干部清正、政府清廉、政治清明、社会清新"的环境。</w:t>
            </w:r>
          </w:p>
        </w:tc>
        <w:tc>
          <w:tcPr>
            <w:tcW w:w="2753"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纪检监察工作有序推进，各项工作达到时间进度要求，其中：2023年立案376件，同比下降0.3%，给予党纪政务处分353人，增长0.3%；留置14人，增长40%；移送司法机关10人，与去年持平；主动发现问题线索率68.3%，增长13.6%，初核成案率86.6%，提高18.4个百分点；人均查处数2.23</w:t>
            </w:r>
          </w:p>
        </w:tc>
        <w:tc>
          <w:tcPr>
            <w:tcW w:w="3158"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90"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年度绩</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效指标</w:t>
            </w:r>
          </w:p>
        </w:tc>
        <w:tc>
          <w:tcPr>
            <w:tcW w:w="84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317"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1758"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99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预算指标值(包含数字及文字描述)</w:t>
            </w:r>
          </w:p>
        </w:tc>
        <w:tc>
          <w:tcPr>
            <w:tcW w:w="110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预算指标值执行结果(包含数字及文字描述)</w:t>
            </w:r>
          </w:p>
        </w:tc>
        <w:tc>
          <w:tcPr>
            <w:tcW w:w="2066"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w:t>
            </w:r>
          </w:p>
        </w:tc>
        <w:tc>
          <w:tcPr>
            <w:tcW w:w="1317" w:type="dxa"/>
            <w:gridSpan w:val="2"/>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758"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要案数（件）</w:t>
            </w:r>
          </w:p>
        </w:tc>
        <w:tc>
          <w:tcPr>
            <w:tcW w:w="995"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105"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w:t>
            </w:r>
          </w:p>
        </w:tc>
        <w:tc>
          <w:tcPr>
            <w:tcW w:w="2066"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continue"/>
            <w:noWrap w:val="0"/>
            <w:vAlign w:val="center"/>
          </w:tcPr>
          <w:p>
            <w:pPr>
              <w:widowControl/>
              <w:jc w:val="center"/>
              <w:rPr>
                <w:rFonts w:hint="eastAsia" w:ascii="宋体" w:hAnsi="宋体" w:eastAsia="宋体" w:cs="宋体"/>
                <w:color w:val="000000"/>
                <w:kern w:val="0"/>
                <w:sz w:val="18"/>
                <w:szCs w:val="18"/>
              </w:rPr>
            </w:pPr>
          </w:p>
        </w:tc>
        <w:tc>
          <w:tcPr>
            <w:tcW w:w="1758"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移送审查起诉（件）</w:t>
            </w:r>
          </w:p>
        </w:tc>
        <w:tc>
          <w:tcPr>
            <w:tcW w:w="995" w:type="dxa"/>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8</w:t>
            </w:r>
          </w:p>
        </w:tc>
        <w:tc>
          <w:tcPr>
            <w:tcW w:w="1105"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2066"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continue"/>
            <w:noWrap w:val="0"/>
            <w:vAlign w:val="center"/>
          </w:tcPr>
          <w:p>
            <w:pPr>
              <w:widowControl/>
              <w:jc w:val="center"/>
              <w:rPr>
                <w:rFonts w:hint="eastAsia" w:ascii="宋体" w:hAnsi="宋体" w:eastAsia="宋体" w:cs="宋体"/>
                <w:color w:val="000000"/>
                <w:kern w:val="0"/>
                <w:sz w:val="18"/>
                <w:szCs w:val="18"/>
              </w:rPr>
            </w:pPr>
          </w:p>
        </w:tc>
        <w:tc>
          <w:tcPr>
            <w:tcW w:w="1758" w:type="dxa"/>
            <w:gridSpan w:val="2"/>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立案审查调查（件）</w:t>
            </w:r>
          </w:p>
        </w:tc>
        <w:tc>
          <w:tcPr>
            <w:tcW w:w="995"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360</w:t>
            </w:r>
          </w:p>
        </w:tc>
        <w:tc>
          <w:tcPr>
            <w:tcW w:w="1105" w:type="dxa"/>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366</w:t>
            </w:r>
          </w:p>
        </w:tc>
        <w:tc>
          <w:tcPr>
            <w:tcW w:w="2066" w:type="dxa"/>
            <w:gridSpan w:val="3"/>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758" w:type="dxa"/>
            <w:gridSpan w:val="2"/>
            <w:tcBorders>
              <w:bottom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初核转立案率（%）</w:t>
            </w:r>
          </w:p>
        </w:tc>
        <w:tc>
          <w:tcPr>
            <w:tcW w:w="995" w:type="dxa"/>
            <w:tcBorders>
              <w:bottom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70</w:t>
            </w:r>
          </w:p>
        </w:tc>
        <w:tc>
          <w:tcPr>
            <w:tcW w:w="1105" w:type="dxa"/>
            <w:tcBorders>
              <w:bottom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86.6</w:t>
            </w:r>
          </w:p>
        </w:tc>
        <w:tc>
          <w:tcPr>
            <w:tcW w:w="2066" w:type="dxa"/>
            <w:gridSpan w:val="3"/>
            <w:tcBorders>
              <w:bottom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continue"/>
            <w:tcBorders>
              <w:right w:val="single" w:color="auto" w:sz="4" w:space="0"/>
            </w:tcBorders>
            <w:noWrap w:val="0"/>
            <w:vAlign w:val="center"/>
          </w:tcPr>
          <w:p>
            <w:pPr>
              <w:widowControl/>
              <w:jc w:val="center"/>
              <w:rPr>
                <w:rFonts w:hint="eastAsia" w:ascii="宋体" w:hAnsi="宋体" w:eastAsia="宋体" w:cs="宋体"/>
                <w:color w:val="000000"/>
                <w:kern w:val="0"/>
                <w:sz w:val="18"/>
                <w:szCs w:val="18"/>
              </w:rPr>
            </w:pP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人均查处数（件）</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2.23</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vMerge w:val="continue"/>
            <w:tcBorders>
              <w:right w:val="single" w:color="auto" w:sz="4" w:space="0"/>
            </w:tcBorders>
            <w:noWrap w:val="0"/>
            <w:vAlign w:val="center"/>
          </w:tcPr>
          <w:p>
            <w:pPr>
              <w:widowControl/>
              <w:jc w:val="center"/>
              <w:rPr>
                <w:rFonts w:hint="eastAsia" w:ascii="宋体" w:hAnsi="宋体" w:eastAsia="宋体" w:cs="宋体"/>
                <w:color w:val="000000"/>
                <w:kern w:val="0"/>
                <w:sz w:val="18"/>
                <w:szCs w:val="18"/>
              </w:rPr>
            </w:pP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办案安全事故发生件数</w:t>
            </w:r>
          </w:p>
        </w:tc>
        <w:tc>
          <w:tcPr>
            <w:tcW w:w="99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rPr>
              <w:t>＝</w:t>
            </w:r>
            <w:r>
              <w:rPr>
                <w:rFonts w:hint="eastAsia" w:ascii="宋体" w:hAnsi="宋体" w:eastAsia="宋体" w:cs="宋体"/>
                <w:color w:val="000000"/>
                <w:kern w:val="0"/>
                <w:sz w:val="18"/>
                <w:szCs w:val="18"/>
                <w:lang w:val="en-US" w:eastAsia="zh-CN"/>
              </w:rPr>
              <w:t>0</w:t>
            </w:r>
          </w:p>
        </w:tc>
        <w:tc>
          <w:tcPr>
            <w:tcW w:w="110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ind w:firstLine="360" w:firstLineChars="20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完成时间</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1年</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1年</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90" w:type="dxa"/>
            <w:vMerge w:val="restart"/>
            <w:noWrap w:val="0"/>
            <w:vAlign w:val="center"/>
          </w:tcPr>
          <w:p>
            <w:pPr>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年度绩效指标</w:t>
            </w:r>
          </w:p>
        </w:tc>
        <w:tc>
          <w:tcPr>
            <w:tcW w:w="847" w:type="dxa"/>
            <w:vMerge w:val="restart"/>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w:t>
            </w:r>
          </w:p>
        </w:tc>
        <w:tc>
          <w:tcPr>
            <w:tcW w:w="1317" w:type="dxa"/>
            <w:gridSpan w:val="2"/>
            <w:tcBorders>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群众对党政机关的执行力及服务满意度（%）</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85</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 w:type="dxa"/>
            <w:vMerge w:val="continue"/>
            <w:noWrap w:val="0"/>
            <w:vAlign w:val="center"/>
          </w:tcPr>
          <w:p>
            <w:pPr>
              <w:jc w:val="center"/>
              <w:rPr>
                <w:rFonts w:hint="eastAsia" w:ascii="宋体" w:hAnsi="宋体" w:eastAsia="宋体" w:cs="宋体"/>
                <w:color w:val="000000"/>
                <w:kern w:val="0"/>
                <w:sz w:val="18"/>
                <w:szCs w:val="18"/>
              </w:rPr>
            </w:pPr>
          </w:p>
        </w:tc>
        <w:tc>
          <w:tcPr>
            <w:tcW w:w="847" w:type="dxa"/>
            <w:vMerge w:val="continue"/>
            <w:noWrap/>
            <w:vAlign w:val="center"/>
          </w:tcPr>
          <w:p>
            <w:pPr>
              <w:widowControl/>
              <w:jc w:val="center"/>
              <w:rPr>
                <w:rFonts w:hint="eastAsia" w:ascii="宋体" w:hAnsi="宋体" w:eastAsia="宋体" w:cs="宋体"/>
                <w:color w:val="000000"/>
                <w:kern w:val="0"/>
                <w:sz w:val="18"/>
                <w:szCs w:val="18"/>
              </w:rPr>
            </w:pPr>
          </w:p>
        </w:tc>
        <w:tc>
          <w:tcPr>
            <w:tcW w:w="1317" w:type="dxa"/>
            <w:gridSpan w:val="2"/>
            <w:tcBorders>
              <w:right w:val="single" w:color="auto" w:sz="4" w:space="0"/>
            </w:tcBorders>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经济效益指标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清退追缴违纪违法款</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500</w:t>
            </w:r>
            <w:r>
              <w:rPr>
                <w:rFonts w:hint="eastAsia" w:ascii="宋体" w:hAnsi="宋体" w:eastAsia="宋体" w:cs="宋体"/>
                <w:color w:val="000000"/>
                <w:kern w:val="0"/>
                <w:sz w:val="18"/>
                <w:szCs w:val="18"/>
              </w:rPr>
              <w:t>万元</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918.4</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hint="eastAsia" w:ascii="宋体" w:hAnsi="宋体" w:eastAsia="宋体" w:cs="宋体"/>
                <w:color w:val="000000"/>
                <w:kern w:val="0"/>
                <w:sz w:val="18"/>
                <w:szCs w:val="18"/>
              </w:rPr>
            </w:pPr>
          </w:p>
        </w:tc>
        <w:tc>
          <w:tcPr>
            <w:tcW w:w="847" w:type="dxa"/>
            <w:vMerge w:val="continue"/>
            <w:noWrap w:val="0"/>
            <w:vAlign w:val="center"/>
          </w:tcPr>
          <w:p>
            <w:pPr>
              <w:widowControl/>
              <w:jc w:val="center"/>
              <w:rPr>
                <w:rFonts w:hint="eastAsia" w:ascii="宋体" w:hAnsi="宋体" w:eastAsia="宋体" w:cs="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实现政治生态清朗，营造风清气正的政治生态</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好</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好</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90" w:type="dxa"/>
            <w:vMerge w:val="continue"/>
            <w:noWrap w:val="0"/>
            <w:vAlign w:val="center"/>
          </w:tcPr>
          <w:p>
            <w:pPr>
              <w:widowControl/>
              <w:jc w:val="center"/>
              <w:rPr>
                <w:rFonts w:hint="eastAsia" w:ascii="宋体" w:hAnsi="宋体" w:eastAsia="宋体" w:cs="宋体"/>
                <w:color w:val="000000"/>
                <w:kern w:val="0"/>
                <w:sz w:val="18"/>
                <w:szCs w:val="18"/>
              </w:rPr>
            </w:pPr>
          </w:p>
        </w:tc>
        <w:tc>
          <w:tcPr>
            <w:tcW w:w="847" w:type="dxa"/>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1317" w:type="dxa"/>
            <w:gridSpan w:val="2"/>
            <w:tcBorders>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175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人民群众满意度（%）</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1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9</w:t>
            </w:r>
            <w:r>
              <w:rPr>
                <w:rFonts w:hint="eastAsia" w:ascii="宋体" w:hAnsi="宋体" w:eastAsia="宋体" w:cs="宋体"/>
                <w:color w:val="000000"/>
                <w:kern w:val="0"/>
                <w:sz w:val="18"/>
                <w:szCs w:val="18"/>
                <w:lang w:val="en-US" w:eastAsia="zh-CN"/>
              </w:rPr>
              <w:t>6</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pStyle w:val="6"/>
        <w:spacing w:before="93"/>
        <w:rPr>
          <w:rFonts w:hint="default" w:hAnsi="Calibri" w:eastAsia="仿宋_GB2312" w:cs="仿宋"/>
          <w:sz w:val="32"/>
          <w:szCs w:val="32"/>
          <w:lang w:val="en-US" w:eastAsia="zh-CN"/>
        </w:rPr>
      </w:pPr>
    </w:p>
    <w:p>
      <w:pPr>
        <w:pStyle w:val="6"/>
        <w:spacing w:before="93"/>
        <w:rPr>
          <w:rFonts w:hAnsi="Calibri" w:cs="仿宋"/>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spacing w:line="660" w:lineRule="exact"/>
        <w:jc w:val="left"/>
        <w:outlineLvl w:val="1"/>
        <w:rPr>
          <w:rFonts w:hint="eastAsia" w:hAnsi="Calibri" w:cs="仿宋"/>
          <w:sz w:val="32"/>
          <w:szCs w:val="32"/>
          <w:lang w:val="en-US" w:eastAsia="zh-CN"/>
        </w:rPr>
      </w:pPr>
      <w:bookmarkStart w:id="66" w:name="_Toc1283"/>
      <w:r>
        <w:rPr>
          <w:rFonts w:hint="eastAsia" w:ascii="黑体" w:hAnsi="黑体" w:eastAsia="黑体" w:cs="黑体"/>
          <w:sz w:val="32"/>
          <w:szCs w:val="32"/>
          <w:lang w:val="en-US" w:eastAsia="zh-CN"/>
        </w:rPr>
        <w:t>附件3</w:t>
      </w:r>
      <w:bookmarkEnd w:id="66"/>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color w:val="000000"/>
          <w:spacing w:val="-12"/>
          <w:kern w:val="0"/>
          <w:sz w:val="44"/>
          <w:szCs w:val="44"/>
        </w:rPr>
      </w:pPr>
      <w:r>
        <w:rPr>
          <w:rFonts w:hint="eastAsia" w:ascii="黑体" w:hAnsi="黑体" w:eastAsia="黑体" w:cs="黑体"/>
          <w:color w:val="000000"/>
          <w:spacing w:val="-12"/>
          <w:kern w:val="0"/>
          <w:sz w:val="40"/>
          <w:szCs w:val="40"/>
        </w:rPr>
        <w:t>20</w:t>
      </w:r>
      <w:r>
        <w:rPr>
          <w:rFonts w:hint="eastAsia" w:ascii="黑体" w:hAnsi="黑体" w:eastAsia="黑体" w:cs="黑体"/>
          <w:color w:val="000000"/>
          <w:spacing w:val="-12"/>
          <w:kern w:val="0"/>
          <w:sz w:val="40"/>
          <w:szCs w:val="40"/>
          <w:lang w:val="en-US" w:eastAsia="zh-CN"/>
        </w:rPr>
        <w:t>23</w:t>
      </w:r>
      <w:r>
        <w:rPr>
          <w:rFonts w:hint="eastAsia" w:ascii="黑体" w:hAnsi="黑体" w:eastAsia="黑体" w:cs="黑体"/>
          <w:color w:val="000000"/>
          <w:spacing w:val="-12"/>
          <w:kern w:val="0"/>
          <w:sz w:val="40"/>
          <w:szCs w:val="40"/>
        </w:rPr>
        <w:t>年度项目支出绩效自评报告</w:t>
      </w:r>
    </w:p>
    <w:p>
      <w:pPr>
        <w:autoSpaceDE w:val="0"/>
        <w:autoSpaceDN w:val="0"/>
        <w:adjustRightInd w:val="0"/>
        <w:spacing w:line="580" w:lineRule="exact"/>
        <w:jc w:val="center"/>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（党风廉政建设宣教及专项监督检查经费）</w:t>
      </w:r>
    </w:p>
    <w:p>
      <w:pPr>
        <w:autoSpaceDE w:val="0"/>
        <w:autoSpaceDN w:val="0"/>
        <w:adjustRightInd w:val="0"/>
        <w:spacing w:line="580" w:lineRule="exact"/>
        <w:jc w:val="center"/>
        <w:rPr>
          <w:rFonts w:hint="eastAsia" w:ascii="宋体" w:hAnsi="宋体" w:eastAsia="方正仿宋简体"/>
          <w:color w:val="000000"/>
          <w:kern w:val="0"/>
          <w:sz w:val="32"/>
          <w:szCs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一、项目基本情况</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（一）概况</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简体"/>
          <w:b/>
          <w:color w:val="000000"/>
          <w:kern w:val="0"/>
          <w:sz w:val="32"/>
          <w:szCs w:val="32"/>
        </w:rPr>
      </w:pPr>
      <w:r>
        <w:rPr>
          <w:rFonts w:hint="eastAsia" w:ascii="宋体" w:hAnsi="宋体" w:eastAsia="方正仿宋_GBK" w:cs="方正仿宋_GBK"/>
          <w:b/>
          <w:bCs w:val="0"/>
          <w:color w:val="000000"/>
          <w:kern w:val="0"/>
          <w:sz w:val="32"/>
          <w:szCs w:val="32"/>
        </w:rPr>
        <w:t>1.立项背景及目的</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sz w:val="32"/>
          <w:szCs w:val="32"/>
        </w:rPr>
      </w:pPr>
      <w:r>
        <w:rPr>
          <w:rFonts w:hint="eastAsia" w:ascii="宋体" w:hAnsi="宋体" w:eastAsia="方正仿宋_GBK" w:cs="方正仿宋_GBK"/>
          <w:color w:val="000000"/>
          <w:sz w:val="32"/>
          <w:szCs w:val="32"/>
        </w:rPr>
        <w:t>党风廉政建设宣传教育及</w:t>
      </w:r>
      <w:r>
        <w:rPr>
          <w:rFonts w:hint="eastAsia" w:ascii="宋体" w:hAnsi="宋体" w:eastAsia="方正仿宋_GBK" w:cs="方正仿宋_GBK"/>
          <w:color w:val="000000"/>
          <w:sz w:val="32"/>
          <w:szCs w:val="32"/>
          <w:lang w:val="en-US" w:eastAsia="zh-CN"/>
        </w:rPr>
        <w:t>专项监督检查</w:t>
      </w:r>
      <w:r>
        <w:rPr>
          <w:rFonts w:hint="eastAsia" w:ascii="宋体" w:hAnsi="宋体" w:eastAsia="方正仿宋_GBK" w:cs="方正仿宋_GBK"/>
          <w:color w:val="000000"/>
          <w:sz w:val="32"/>
          <w:szCs w:val="32"/>
        </w:rPr>
        <w:t>经费是我</w:t>
      </w:r>
      <w:r>
        <w:rPr>
          <w:rFonts w:hint="eastAsia" w:eastAsia="方正仿宋_GBK" w:cs="方正仿宋_GBK"/>
          <w:color w:val="000000"/>
          <w:sz w:val="32"/>
          <w:szCs w:val="32"/>
          <w:lang w:val="en-US" w:eastAsia="zh-CN"/>
        </w:rPr>
        <w:t>单位长期使用的特定目标类</w:t>
      </w:r>
      <w:r>
        <w:rPr>
          <w:rFonts w:hint="eastAsia" w:ascii="宋体" w:hAnsi="宋体" w:eastAsia="方正仿宋_GBK" w:cs="方正仿宋_GBK"/>
          <w:color w:val="000000"/>
          <w:sz w:val="32"/>
          <w:szCs w:val="32"/>
          <w:lang w:val="en-US" w:eastAsia="zh-CN"/>
        </w:rPr>
        <w:t>项目，围绕单位职能而设</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项目经费</w:t>
      </w:r>
      <w:r>
        <w:rPr>
          <w:rFonts w:hint="eastAsia" w:ascii="宋体" w:hAnsi="宋体" w:eastAsia="方正仿宋_GBK" w:cs="方正仿宋_GBK"/>
          <w:color w:val="000000"/>
          <w:sz w:val="32"/>
          <w:szCs w:val="32"/>
        </w:rPr>
        <w:t>主要用于开展党风廉政建设</w:t>
      </w:r>
      <w:r>
        <w:rPr>
          <w:rFonts w:hint="eastAsia" w:ascii="宋体" w:hAnsi="宋体" w:eastAsia="方正仿宋_GBK" w:cs="方正仿宋_GBK"/>
          <w:color w:val="000000"/>
          <w:sz w:val="32"/>
          <w:szCs w:val="32"/>
          <w:lang w:val="en-US" w:eastAsia="zh-CN"/>
        </w:rPr>
        <w:t>宣传</w:t>
      </w:r>
      <w:r>
        <w:rPr>
          <w:rFonts w:hint="eastAsia" w:eastAsia="方正仿宋_GBK" w:cs="方正仿宋_GBK"/>
          <w:color w:val="000000"/>
          <w:sz w:val="32"/>
          <w:szCs w:val="32"/>
          <w:lang w:val="en-US" w:eastAsia="zh-CN"/>
        </w:rPr>
        <w:t>教育</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日常监督</w:t>
      </w:r>
      <w:r>
        <w:rPr>
          <w:rFonts w:hint="eastAsia" w:ascii="宋体" w:hAnsi="宋体" w:eastAsia="方正仿宋_GBK" w:cs="方正仿宋_GBK"/>
          <w:color w:val="000000"/>
          <w:sz w:val="32"/>
          <w:szCs w:val="32"/>
          <w:lang w:val="en-US" w:eastAsia="zh-CN"/>
        </w:rPr>
        <w:t>检查</w:t>
      </w:r>
      <w:r>
        <w:rPr>
          <w:rFonts w:hint="eastAsia" w:ascii="宋体" w:hAnsi="宋体" w:eastAsia="方正仿宋_GBK" w:cs="方正仿宋_GBK"/>
          <w:color w:val="000000"/>
          <w:sz w:val="32"/>
          <w:szCs w:val="32"/>
        </w:rPr>
        <w:t>和专项整治工作，</w:t>
      </w:r>
      <w:r>
        <w:rPr>
          <w:rFonts w:hint="eastAsia" w:ascii="宋体" w:hAnsi="宋体" w:eastAsia="方正仿宋_GBK" w:cs="方正仿宋_GBK"/>
          <w:sz w:val="32"/>
          <w:szCs w:val="32"/>
        </w:rPr>
        <w:t>坚定稳妥推进全县党风廉政建设和反腐败斗争</w:t>
      </w:r>
      <w:r>
        <w:rPr>
          <w:rFonts w:hint="eastAsia" w:eastAsia="方正仿宋_GBK" w:cs="方正仿宋_GBK"/>
          <w:sz w:val="32"/>
          <w:szCs w:val="32"/>
          <w:lang w:eastAsia="zh-CN"/>
        </w:rPr>
        <w:t>，</w:t>
      </w:r>
      <w:r>
        <w:rPr>
          <w:rFonts w:hint="eastAsia" w:ascii="宋体" w:hAnsi="宋体" w:eastAsia="方正仿宋_GBK" w:cs="方正仿宋_GBK"/>
          <w:sz w:val="32"/>
          <w:szCs w:val="32"/>
        </w:rPr>
        <w:t>充分发挥监督保障执行、促进完善发展作用，</w:t>
      </w:r>
      <w:r>
        <w:rPr>
          <w:rFonts w:hint="eastAsia" w:ascii="宋体" w:hAnsi="宋体" w:eastAsia="方正仿宋_GBK" w:cs="方正仿宋_GBK"/>
          <w:sz w:val="32"/>
          <w:szCs w:val="32"/>
          <w:lang w:val="en-US" w:eastAsia="zh-CN"/>
        </w:rPr>
        <w:t>为</w:t>
      </w:r>
      <w:r>
        <w:rPr>
          <w:rFonts w:hint="eastAsia" w:ascii="宋体" w:hAnsi="宋体" w:eastAsia="方正仿宋_GBK" w:cs="方正仿宋_GBK"/>
          <w:sz w:val="32"/>
          <w:szCs w:val="32"/>
        </w:rPr>
        <w:t>推动经济社会高质量发展</w:t>
      </w:r>
      <w:r>
        <w:rPr>
          <w:rFonts w:hint="eastAsia" w:eastAsia="方正仿宋_GBK" w:cs="方正仿宋_GBK"/>
          <w:sz w:val="32"/>
          <w:szCs w:val="32"/>
          <w:lang w:eastAsia="zh-CN"/>
        </w:rPr>
        <w:t>，</w:t>
      </w:r>
      <w:r>
        <w:rPr>
          <w:rFonts w:hint="eastAsia" w:ascii="宋体" w:hAnsi="宋体" w:eastAsia="方正仿宋_GBK" w:cs="方正仿宋_GBK"/>
          <w:sz w:val="32"/>
          <w:szCs w:val="32"/>
        </w:rPr>
        <w:t>开创社会主义现代化安岳新局面提供坚强保障。</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_GBK" w:cs="方正仿宋_GBK"/>
          <w:b/>
          <w:bCs w:val="0"/>
          <w:color w:val="000000"/>
          <w:kern w:val="0"/>
          <w:sz w:val="32"/>
          <w:szCs w:val="32"/>
        </w:rPr>
      </w:pPr>
      <w:r>
        <w:rPr>
          <w:rFonts w:hint="eastAsia" w:ascii="宋体" w:hAnsi="宋体" w:eastAsia="方正仿宋_GBK" w:cs="方正仿宋_GBK"/>
          <w:b/>
          <w:bCs w:val="0"/>
          <w:color w:val="000000"/>
          <w:kern w:val="0"/>
          <w:sz w:val="32"/>
          <w:szCs w:val="32"/>
        </w:rPr>
        <w:t>2.预算资金来源及使用情况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（1）项目资金来源情况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20</w:t>
      </w:r>
      <w:r>
        <w:rPr>
          <w:rFonts w:hint="eastAsia" w:ascii="宋体" w:hAnsi="宋体" w:eastAsia="方正仿宋_GBK" w:cs="方正仿宋_GBK"/>
          <w:color w:val="000000"/>
          <w:sz w:val="32"/>
          <w:szCs w:val="32"/>
          <w:lang w:val="en-US" w:eastAsia="zh-CN"/>
        </w:rPr>
        <w:t>2</w:t>
      </w:r>
      <w:r>
        <w:rPr>
          <w:rFonts w:hint="eastAsia" w:eastAsia="方正仿宋_GBK" w:cs="方正仿宋_GBK"/>
          <w:color w:val="000000"/>
          <w:sz w:val="32"/>
          <w:szCs w:val="32"/>
          <w:lang w:val="en-US" w:eastAsia="zh-CN"/>
        </w:rPr>
        <w:t>3</w:t>
      </w:r>
      <w:r>
        <w:rPr>
          <w:rFonts w:hint="eastAsia" w:ascii="宋体" w:hAnsi="宋体" w:eastAsia="方正仿宋_GBK" w:cs="方正仿宋_GBK"/>
          <w:color w:val="000000"/>
          <w:sz w:val="32"/>
          <w:szCs w:val="32"/>
        </w:rPr>
        <w:t>年县财政安排专项</w:t>
      </w:r>
      <w:r>
        <w:rPr>
          <w:rFonts w:hint="eastAsia" w:eastAsia="方正仿宋_GBK" w:cs="方正仿宋_GBK"/>
          <w:color w:val="000000"/>
          <w:sz w:val="32"/>
          <w:szCs w:val="32"/>
          <w:lang w:val="en-US" w:eastAsia="zh-CN"/>
        </w:rPr>
        <w:t>经费91.95</w:t>
      </w:r>
      <w:r>
        <w:rPr>
          <w:rFonts w:hint="eastAsia" w:ascii="宋体" w:hAnsi="宋体" w:eastAsia="方正仿宋_GBK" w:cs="方正仿宋_GBK"/>
          <w:color w:val="000000"/>
          <w:sz w:val="32"/>
          <w:szCs w:val="32"/>
        </w:rPr>
        <w:t>万元，资金</w:t>
      </w:r>
      <w:r>
        <w:rPr>
          <w:rFonts w:hint="eastAsia" w:eastAsia="方正仿宋_GBK" w:cs="方正仿宋_GBK"/>
          <w:color w:val="000000"/>
          <w:sz w:val="32"/>
          <w:szCs w:val="32"/>
          <w:lang w:val="en-US" w:eastAsia="zh-CN"/>
        </w:rPr>
        <w:t>主要</w:t>
      </w:r>
      <w:r>
        <w:rPr>
          <w:rFonts w:hint="eastAsia" w:ascii="宋体" w:hAnsi="宋体" w:eastAsia="方正仿宋_GBK" w:cs="方正仿宋_GBK"/>
          <w:color w:val="000000"/>
          <w:sz w:val="32"/>
          <w:szCs w:val="32"/>
        </w:rPr>
        <w:t>来源于财政拨款</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其中，</w:t>
      </w:r>
      <w:r>
        <w:rPr>
          <w:rFonts w:ascii="宋体" w:hAnsi="宋体" w:eastAsia="方正仿宋_GBK" w:cs="Times New Roman"/>
          <w:b w:val="0"/>
          <w:bCs w:val="0"/>
          <w:spacing w:val="0"/>
          <w:sz w:val="32"/>
          <w:szCs w:val="32"/>
          <w:shd w:val="clear" w:color="auto" w:fill="auto"/>
        </w:rPr>
        <w:t>一般公共预算拨款</w:t>
      </w:r>
      <w:r>
        <w:rPr>
          <w:rFonts w:hint="eastAsia" w:ascii="宋体" w:hAnsi="宋体" w:eastAsia="方正仿宋_GBK" w:cs="Times New Roman"/>
          <w:b w:val="0"/>
          <w:bCs w:val="0"/>
          <w:spacing w:val="0"/>
          <w:sz w:val="32"/>
          <w:szCs w:val="32"/>
          <w:shd w:val="clear" w:color="auto" w:fill="auto"/>
          <w:lang w:val="en-US" w:eastAsia="zh-CN"/>
        </w:rPr>
        <w:t>63.78万元，政府性基金预算拨款28.17万元），</w:t>
      </w:r>
      <w:r>
        <w:rPr>
          <w:rFonts w:hint="eastAsia" w:ascii="宋体" w:hAnsi="宋体" w:eastAsia="方正仿宋_GBK" w:cs="方正仿宋_GBK"/>
          <w:color w:val="000000"/>
          <w:sz w:val="32"/>
          <w:szCs w:val="32"/>
        </w:rPr>
        <w:t>无其他资金投入。</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（2）项目资金</w:t>
      </w:r>
      <w:r>
        <w:rPr>
          <w:rFonts w:hint="eastAsia" w:eastAsia="方正仿宋_GBK" w:cs="方正仿宋_GBK"/>
          <w:color w:val="000000"/>
          <w:sz w:val="32"/>
          <w:szCs w:val="32"/>
          <w:lang w:val="en-US" w:eastAsia="zh-CN"/>
        </w:rPr>
        <w:t>使用</w:t>
      </w:r>
      <w:r>
        <w:rPr>
          <w:rFonts w:hint="eastAsia" w:ascii="宋体" w:hAnsi="宋体" w:eastAsia="方正仿宋_GBK" w:cs="方正仿宋_GBK"/>
          <w:color w:val="000000"/>
          <w:sz w:val="32"/>
          <w:szCs w:val="32"/>
        </w:rPr>
        <w:t>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w w:val="98"/>
          <w:sz w:val="32"/>
          <w:szCs w:val="32"/>
        </w:rPr>
        <w:t>20</w:t>
      </w:r>
      <w:r>
        <w:rPr>
          <w:rFonts w:hint="eastAsia" w:ascii="宋体" w:hAnsi="宋体" w:eastAsia="方正仿宋_GBK" w:cs="方正仿宋_GBK"/>
          <w:color w:val="000000"/>
          <w:w w:val="98"/>
          <w:sz w:val="32"/>
          <w:szCs w:val="32"/>
          <w:lang w:val="en-US" w:eastAsia="zh-CN"/>
        </w:rPr>
        <w:t>23</w:t>
      </w:r>
      <w:r>
        <w:rPr>
          <w:rFonts w:hint="eastAsia" w:ascii="宋体" w:hAnsi="宋体" w:eastAsia="方正仿宋_GBK" w:cs="方正仿宋_GBK"/>
          <w:color w:val="000000"/>
          <w:w w:val="98"/>
          <w:sz w:val="32"/>
          <w:szCs w:val="32"/>
        </w:rPr>
        <w:t>年度党风廉政建设宣传教育及</w:t>
      </w:r>
      <w:r>
        <w:rPr>
          <w:rFonts w:hint="eastAsia" w:ascii="宋体" w:hAnsi="宋体" w:eastAsia="方正仿宋_GBK" w:cs="方正仿宋_GBK"/>
          <w:color w:val="000000"/>
          <w:w w:val="98"/>
          <w:sz w:val="32"/>
          <w:szCs w:val="32"/>
          <w:lang w:val="en-US" w:eastAsia="zh-CN"/>
        </w:rPr>
        <w:t>专项监督检查</w:t>
      </w:r>
      <w:r>
        <w:rPr>
          <w:rFonts w:hint="eastAsia" w:eastAsia="方正仿宋_GBK" w:cs="方正仿宋_GBK"/>
          <w:color w:val="000000"/>
          <w:w w:val="98"/>
          <w:sz w:val="32"/>
          <w:szCs w:val="32"/>
          <w:lang w:val="en-US" w:eastAsia="zh-CN"/>
        </w:rPr>
        <w:t>经费</w:t>
      </w:r>
      <w:r>
        <w:rPr>
          <w:rFonts w:hint="eastAsia" w:ascii="宋体" w:hAnsi="宋体" w:eastAsia="方正仿宋_GBK" w:cs="方正仿宋_GBK"/>
          <w:color w:val="000000"/>
          <w:w w:val="98"/>
          <w:sz w:val="32"/>
          <w:szCs w:val="32"/>
          <w:lang w:val="en-US" w:eastAsia="zh-CN"/>
        </w:rPr>
        <w:t>91.95</w:t>
      </w:r>
      <w:r>
        <w:rPr>
          <w:rFonts w:hint="eastAsia" w:ascii="宋体" w:hAnsi="宋体" w:eastAsia="方正仿宋_GBK" w:cs="方正仿宋_GBK"/>
          <w:color w:val="000000"/>
          <w:w w:val="98"/>
          <w:sz w:val="32"/>
          <w:szCs w:val="32"/>
        </w:rPr>
        <w:t>万元，</w:t>
      </w:r>
      <w:r>
        <w:rPr>
          <w:rFonts w:hint="eastAsia" w:ascii="宋体" w:hAnsi="宋体" w:eastAsia="方正仿宋_GBK" w:cs="方正仿宋_GBK"/>
          <w:color w:val="000000"/>
          <w:w w:val="98"/>
          <w:sz w:val="32"/>
          <w:szCs w:val="32"/>
          <w:lang w:val="en-US" w:eastAsia="zh-CN"/>
        </w:rPr>
        <w:t>全部</w:t>
      </w:r>
      <w:r>
        <w:rPr>
          <w:rFonts w:hint="eastAsia" w:ascii="宋体" w:hAnsi="宋体" w:eastAsia="方正仿宋_GBK" w:cs="方正仿宋_GBK"/>
          <w:color w:val="000000"/>
          <w:w w:val="98"/>
          <w:sz w:val="32"/>
          <w:szCs w:val="32"/>
        </w:rPr>
        <w:t>用于</w:t>
      </w:r>
      <w:r>
        <w:rPr>
          <w:rFonts w:hint="eastAsia" w:ascii="宋体" w:hAnsi="宋体" w:eastAsia="方正仿宋_GBK" w:cs="方正仿宋_GBK"/>
          <w:color w:val="000000"/>
          <w:w w:val="98"/>
          <w:sz w:val="32"/>
          <w:szCs w:val="32"/>
          <w:lang w:val="en-US" w:eastAsia="zh-CN"/>
        </w:rPr>
        <w:t>开展</w:t>
      </w:r>
      <w:r>
        <w:rPr>
          <w:rFonts w:hint="eastAsia" w:ascii="宋体" w:hAnsi="宋体" w:eastAsia="方正仿宋_GBK" w:cs="方正仿宋_GBK"/>
          <w:color w:val="000000"/>
          <w:w w:val="98"/>
          <w:sz w:val="32"/>
          <w:szCs w:val="32"/>
        </w:rPr>
        <w:t>党风廉政建设宣传教育和</w:t>
      </w:r>
      <w:r>
        <w:rPr>
          <w:rFonts w:hint="eastAsia" w:ascii="宋体" w:hAnsi="宋体" w:eastAsia="方正仿宋_GBK" w:cs="方正仿宋_GBK"/>
          <w:color w:val="000000"/>
          <w:w w:val="98"/>
          <w:sz w:val="32"/>
          <w:szCs w:val="32"/>
          <w:lang w:val="en-US" w:eastAsia="zh-CN"/>
        </w:rPr>
        <w:t>专项监督检查工作中</w:t>
      </w:r>
      <w:r>
        <w:rPr>
          <w:rFonts w:hint="eastAsia" w:ascii="宋体" w:hAnsi="宋体" w:eastAsia="方正仿宋_GBK" w:cs="方正仿宋_GBK"/>
          <w:color w:val="000000"/>
          <w:w w:val="98"/>
          <w:sz w:val="32"/>
          <w:szCs w:val="32"/>
        </w:rPr>
        <w:t>直接发生的各项费用</w:t>
      </w:r>
      <w:r>
        <w:rPr>
          <w:rFonts w:hint="eastAsia" w:eastAsia="方正仿宋_GBK" w:cs="方正仿宋_GBK"/>
          <w:color w:val="000000"/>
          <w:w w:val="98"/>
          <w:sz w:val="32"/>
          <w:szCs w:val="32"/>
          <w:lang w:eastAsia="zh-CN"/>
        </w:rPr>
        <w:t>，</w:t>
      </w:r>
      <w:r>
        <w:rPr>
          <w:rFonts w:hint="eastAsia" w:ascii="宋体" w:hAnsi="宋体" w:eastAsia="方正仿宋_GBK" w:cs="方正仿宋_GBK"/>
          <w:color w:val="000000"/>
          <w:w w:val="98"/>
          <w:sz w:val="32"/>
          <w:szCs w:val="32"/>
          <w:lang w:val="en-US" w:eastAsia="zh-CN"/>
        </w:rPr>
        <w:t>主要</w:t>
      </w:r>
      <w:r>
        <w:rPr>
          <w:rFonts w:hint="eastAsia" w:ascii="宋体" w:hAnsi="宋体" w:eastAsia="方正仿宋_GBK" w:cs="方正仿宋_GBK"/>
          <w:color w:val="000000"/>
          <w:w w:val="98"/>
          <w:sz w:val="32"/>
          <w:szCs w:val="32"/>
        </w:rPr>
        <w:t>包括</w:t>
      </w:r>
      <w:r>
        <w:rPr>
          <w:rFonts w:hint="eastAsia" w:ascii="宋体" w:hAnsi="宋体" w:eastAsia="方正仿宋_GBK" w:cs="方正仿宋_GBK"/>
          <w:color w:val="000000"/>
          <w:w w:val="98"/>
          <w:sz w:val="32"/>
          <w:szCs w:val="32"/>
          <w:lang w:eastAsia="zh-CN"/>
        </w:rPr>
        <w:t>：</w:t>
      </w:r>
      <w:r>
        <w:rPr>
          <w:rFonts w:hint="eastAsia" w:ascii="宋体" w:hAnsi="宋体" w:eastAsia="方正仿宋_GBK" w:cs="方正仿宋_GBK"/>
          <w:color w:val="000000"/>
          <w:w w:val="98"/>
          <w:sz w:val="32"/>
          <w:szCs w:val="32"/>
        </w:rPr>
        <w:t>一是</w:t>
      </w:r>
      <w:r>
        <w:rPr>
          <w:rFonts w:hint="eastAsia" w:ascii="宋体" w:hAnsi="宋体" w:eastAsia="方正仿宋_GBK" w:cs="方正仿宋_GBK"/>
          <w:color w:val="000000"/>
          <w:w w:val="98"/>
          <w:sz w:val="32"/>
          <w:szCs w:val="32"/>
          <w:lang w:val="en-US" w:eastAsia="zh-CN"/>
        </w:rPr>
        <w:t>开展</w:t>
      </w:r>
      <w:r>
        <w:rPr>
          <w:rFonts w:hint="eastAsia" w:ascii="宋体" w:hAnsi="宋体" w:eastAsia="方正仿宋_GBK" w:cs="方正仿宋_GBK"/>
          <w:color w:val="000000"/>
          <w:w w:val="98"/>
          <w:sz w:val="32"/>
          <w:szCs w:val="32"/>
        </w:rPr>
        <w:t>专项督查</w:t>
      </w:r>
      <w:r>
        <w:rPr>
          <w:rFonts w:hint="eastAsia" w:eastAsia="方正仿宋_GBK" w:cs="方正仿宋_GBK"/>
          <w:color w:val="000000"/>
          <w:w w:val="98"/>
          <w:sz w:val="32"/>
          <w:szCs w:val="32"/>
          <w:lang w:val="en-US" w:eastAsia="zh-CN"/>
        </w:rPr>
        <w:t>所产生的</w:t>
      </w:r>
      <w:r>
        <w:rPr>
          <w:rFonts w:hint="eastAsia" w:ascii="宋体" w:hAnsi="宋体" w:eastAsia="方正仿宋_GBK" w:cs="方正仿宋_GBK"/>
          <w:color w:val="000000"/>
          <w:w w:val="98"/>
          <w:sz w:val="32"/>
          <w:szCs w:val="32"/>
        </w:rPr>
        <w:t>办公费、差旅费、交通费以及其他费用；二是</w:t>
      </w:r>
      <w:r>
        <w:rPr>
          <w:rFonts w:hint="eastAsia" w:eastAsia="方正仿宋_GBK" w:cs="方正仿宋_GBK"/>
          <w:color w:val="000000"/>
          <w:w w:val="98"/>
          <w:sz w:val="32"/>
          <w:szCs w:val="32"/>
          <w:lang w:val="en-US" w:eastAsia="zh-CN"/>
        </w:rPr>
        <w:t>用于</w:t>
      </w:r>
      <w:r>
        <w:rPr>
          <w:rFonts w:hint="eastAsia" w:ascii="宋体" w:hAnsi="宋体" w:eastAsia="方正仿宋_GBK" w:cs="方正仿宋_GBK"/>
          <w:color w:val="000000"/>
          <w:w w:val="98"/>
          <w:sz w:val="32"/>
          <w:szCs w:val="32"/>
        </w:rPr>
        <w:t>拍摄和制作党风廉政建设和反腐败工作综述片</w:t>
      </w:r>
      <w:r>
        <w:rPr>
          <w:rFonts w:hint="eastAsia" w:ascii="宋体" w:hAnsi="宋体" w:eastAsia="方正仿宋_GBK" w:cs="方正仿宋_GBK"/>
          <w:color w:val="000000"/>
          <w:w w:val="98"/>
          <w:sz w:val="32"/>
          <w:szCs w:val="32"/>
          <w:lang w:val="en-US" w:eastAsia="zh-CN"/>
        </w:rPr>
        <w:t>、警示教育视频短剧、微视频等业务费；三是制作机关氛围展板、拍摄公益广告</w:t>
      </w:r>
      <w:r>
        <w:rPr>
          <w:rFonts w:hint="eastAsia" w:eastAsia="方正仿宋_GBK" w:cs="方正仿宋_GBK"/>
          <w:color w:val="000000"/>
          <w:w w:val="98"/>
          <w:sz w:val="32"/>
          <w:szCs w:val="32"/>
          <w:lang w:val="en-US" w:eastAsia="zh-CN"/>
        </w:rPr>
        <w:t>等各类费用</w:t>
      </w:r>
      <w:r>
        <w:rPr>
          <w:rFonts w:hint="eastAsia" w:ascii="宋体" w:hAnsi="宋体" w:eastAsia="方正仿宋_GBK" w:cs="方正仿宋_GBK"/>
          <w:color w:val="000000"/>
          <w:w w:val="98"/>
          <w:sz w:val="32"/>
          <w:szCs w:val="32"/>
        </w:rPr>
        <w:t>。</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eastAsia="方正仿宋_GBK" w:cs="方正仿宋_GBK"/>
          <w:color w:val="000000"/>
          <w:sz w:val="32"/>
          <w:szCs w:val="32"/>
          <w:lang w:val="en-US" w:eastAsia="zh-CN"/>
        </w:rPr>
      </w:pPr>
      <w:r>
        <w:rPr>
          <w:rFonts w:hint="eastAsia" w:eastAsia="方正仿宋_GBK" w:cs="方正仿宋_GBK"/>
          <w:color w:val="000000"/>
          <w:sz w:val="32"/>
          <w:szCs w:val="32"/>
          <w:lang w:val="en-US" w:eastAsia="zh-CN"/>
        </w:rPr>
        <w:t>本单位</w:t>
      </w:r>
      <w:r>
        <w:rPr>
          <w:rFonts w:hint="eastAsia" w:ascii="宋体" w:hAnsi="宋体" w:eastAsia="方正仿宋_GBK" w:cs="方正仿宋_GBK"/>
          <w:color w:val="000000"/>
          <w:sz w:val="32"/>
          <w:szCs w:val="32"/>
        </w:rPr>
        <w:t>按</w:t>
      </w:r>
      <w:r>
        <w:rPr>
          <w:rFonts w:hint="eastAsia" w:ascii="宋体" w:hAnsi="宋体" w:eastAsia="方正仿宋_GBK" w:cs="方正仿宋_GBK"/>
          <w:color w:val="000000"/>
          <w:sz w:val="32"/>
          <w:szCs w:val="32"/>
          <w:lang w:val="en-US" w:eastAsia="zh-CN"/>
        </w:rPr>
        <w:t>项目实施进度</w:t>
      </w:r>
      <w:r>
        <w:rPr>
          <w:rFonts w:hint="eastAsia" w:eastAsia="方正仿宋_GBK" w:cs="方正仿宋_GBK"/>
          <w:color w:val="000000"/>
          <w:sz w:val="32"/>
          <w:szCs w:val="32"/>
          <w:lang w:val="en-US" w:eastAsia="zh-CN"/>
        </w:rPr>
        <w:t>在</w:t>
      </w:r>
      <w:r>
        <w:rPr>
          <w:rFonts w:hint="eastAsia" w:ascii="宋体" w:hAnsi="宋体" w:eastAsia="方正仿宋_GBK" w:cs="方正仿宋_GBK"/>
          <w:color w:val="000000"/>
          <w:sz w:val="32"/>
          <w:szCs w:val="32"/>
          <w:lang w:val="en-US" w:eastAsia="zh-CN"/>
        </w:rPr>
        <w:t>预算管理一体化系统</w:t>
      </w:r>
      <w:r>
        <w:rPr>
          <w:rFonts w:hint="eastAsia" w:eastAsia="方正仿宋_GBK" w:cs="方正仿宋_GBK"/>
          <w:color w:val="000000"/>
          <w:sz w:val="32"/>
          <w:szCs w:val="32"/>
          <w:lang w:val="en-US" w:eastAsia="zh-CN"/>
        </w:rPr>
        <w:t>编报</w:t>
      </w:r>
      <w:r>
        <w:rPr>
          <w:rFonts w:hint="eastAsia" w:ascii="宋体" w:hAnsi="宋体" w:eastAsia="方正仿宋_GBK" w:cs="方正仿宋_GBK"/>
          <w:color w:val="000000"/>
          <w:sz w:val="32"/>
          <w:szCs w:val="32"/>
          <w:lang w:val="en-US" w:eastAsia="zh-CN"/>
        </w:rPr>
        <w:t>用款计划</w:t>
      </w:r>
      <w:r>
        <w:rPr>
          <w:rFonts w:hint="eastAsia" w:ascii="宋体" w:hAnsi="宋体" w:eastAsia="方正仿宋_GBK" w:cs="方正仿宋_GBK"/>
          <w:color w:val="000000"/>
          <w:sz w:val="32"/>
          <w:szCs w:val="32"/>
        </w:rPr>
        <w:t>，县财政局</w:t>
      </w:r>
      <w:r>
        <w:rPr>
          <w:rFonts w:hint="eastAsia" w:ascii="宋体" w:hAnsi="宋体" w:eastAsia="方正仿宋_GBK" w:cs="方正仿宋_GBK"/>
          <w:color w:val="000000"/>
          <w:sz w:val="32"/>
          <w:szCs w:val="32"/>
          <w:lang w:val="en-US" w:eastAsia="zh-CN"/>
        </w:rPr>
        <w:t>予以审核</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本</w:t>
      </w:r>
      <w:r>
        <w:rPr>
          <w:rFonts w:hint="eastAsia" w:ascii="宋体" w:hAnsi="宋体" w:eastAsia="方正仿宋_GBK" w:cs="方正仿宋_GBK"/>
          <w:color w:val="000000"/>
          <w:sz w:val="32"/>
          <w:szCs w:val="32"/>
        </w:rPr>
        <w:t>单位</w:t>
      </w:r>
      <w:r>
        <w:rPr>
          <w:rFonts w:hint="eastAsia" w:eastAsia="方正仿宋_GBK" w:cs="方正仿宋_GBK"/>
          <w:color w:val="000000"/>
          <w:sz w:val="32"/>
          <w:szCs w:val="32"/>
          <w:lang w:val="en-US" w:eastAsia="zh-CN"/>
        </w:rPr>
        <w:t>按实际发生的费用</w:t>
      </w:r>
      <w:r>
        <w:rPr>
          <w:rFonts w:hint="eastAsia" w:ascii="宋体" w:hAnsi="宋体" w:eastAsia="方正仿宋_GBK" w:cs="方正仿宋_GBK"/>
          <w:color w:val="000000"/>
          <w:sz w:val="32"/>
          <w:szCs w:val="32"/>
        </w:rPr>
        <w:t>合理</w:t>
      </w:r>
      <w:r>
        <w:rPr>
          <w:rFonts w:hint="eastAsia" w:eastAsia="方正仿宋_GBK" w:cs="方正仿宋_GBK"/>
          <w:color w:val="000000"/>
          <w:sz w:val="32"/>
          <w:szCs w:val="32"/>
          <w:lang w:val="en-US" w:eastAsia="zh-CN"/>
        </w:rPr>
        <w:t>分配</w:t>
      </w:r>
      <w:r>
        <w:rPr>
          <w:rFonts w:hint="eastAsia" w:ascii="宋体" w:hAnsi="宋体" w:eastAsia="方正仿宋_GBK" w:cs="方正仿宋_GBK"/>
          <w:color w:val="000000"/>
          <w:sz w:val="32"/>
          <w:szCs w:val="32"/>
        </w:rPr>
        <w:t>使用</w:t>
      </w:r>
      <w:r>
        <w:rPr>
          <w:rFonts w:hint="eastAsia" w:eastAsia="方正仿宋_GBK" w:cs="方正仿宋_GBK"/>
          <w:color w:val="000000"/>
          <w:sz w:val="32"/>
          <w:szCs w:val="32"/>
          <w:lang w:val="en-US" w:eastAsia="zh-CN"/>
        </w:rPr>
        <w:t>财政</w:t>
      </w:r>
      <w:r>
        <w:rPr>
          <w:rFonts w:hint="eastAsia" w:ascii="宋体" w:hAnsi="宋体" w:eastAsia="方正仿宋_GBK" w:cs="方正仿宋_GBK"/>
          <w:color w:val="000000"/>
          <w:sz w:val="32"/>
          <w:szCs w:val="32"/>
        </w:rPr>
        <w:t>资金，</w:t>
      </w:r>
      <w:r>
        <w:rPr>
          <w:rFonts w:hint="eastAsia" w:eastAsia="方正仿宋_GBK" w:cs="方正仿宋_GBK"/>
          <w:color w:val="000000"/>
          <w:sz w:val="32"/>
          <w:szCs w:val="32"/>
          <w:lang w:val="en-US" w:eastAsia="zh-CN"/>
        </w:rPr>
        <w:t>严格</w:t>
      </w:r>
      <w:r>
        <w:rPr>
          <w:rFonts w:hint="eastAsia" w:ascii="宋体" w:hAnsi="宋体" w:eastAsia="方正仿宋_GBK" w:cs="方正仿宋_GBK"/>
          <w:color w:val="000000"/>
          <w:sz w:val="32"/>
          <w:szCs w:val="32"/>
          <w:lang w:val="en-US" w:eastAsia="zh-CN"/>
        </w:rPr>
        <w:t>把关支出，</w:t>
      </w:r>
      <w:r>
        <w:rPr>
          <w:rFonts w:hint="eastAsia" w:eastAsia="方正仿宋_GBK" w:cs="方正仿宋_GBK"/>
          <w:color w:val="000000"/>
          <w:sz w:val="32"/>
          <w:szCs w:val="32"/>
          <w:lang w:val="en-US" w:eastAsia="zh-CN"/>
        </w:rPr>
        <w:t>做到手续完备、程序合规，县财政根据财政资金安排，予以审核拨付。</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_GBK" w:cs="方正仿宋_GBK"/>
          <w:b/>
          <w:bCs w:val="0"/>
          <w:color w:val="000000"/>
          <w:kern w:val="0"/>
          <w:sz w:val="32"/>
          <w:szCs w:val="32"/>
        </w:rPr>
      </w:pPr>
      <w:r>
        <w:rPr>
          <w:rFonts w:hint="eastAsia" w:ascii="宋体" w:hAnsi="宋体" w:eastAsia="方正仿宋_GBK" w:cs="方正仿宋_GBK"/>
          <w:b/>
          <w:bCs w:val="0"/>
          <w:color w:val="000000"/>
          <w:kern w:val="0"/>
          <w:sz w:val="32"/>
          <w:szCs w:val="32"/>
        </w:rPr>
        <w:t>3.项目完成情况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lang w:val="en-US" w:eastAsia="zh-CN"/>
        </w:rPr>
      </w:pPr>
      <w:r>
        <w:rPr>
          <w:rFonts w:hint="eastAsia" w:ascii="宋体" w:hAnsi="宋体" w:eastAsia="方正仿宋_GBK" w:cs="方正仿宋_GBK"/>
          <w:color w:val="000000"/>
          <w:sz w:val="32"/>
          <w:szCs w:val="32"/>
          <w:lang w:val="en-US" w:eastAsia="zh-CN"/>
        </w:rPr>
        <w:t>202</w:t>
      </w:r>
      <w:r>
        <w:rPr>
          <w:rFonts w:hint="eastAsia" w:eastAsia="方正仿宋_GBK" w:cs="方正仿宋_GBK"/>
          <w:color w:val="000000"/>
          <w:sz w:val="32"/>
          <w:szCs w:val="32"/>
          <w:lang w:val="en-US" w:eastAsia="zh-CN"/>
        </w:rPr>
        <w:t>3</w:t>
      </w:r>
      <w:r>
        <w:rPr>
          <w:rFonts w:hint="eastAsia" w:ascii="宋体" w:hAnsi="宋体" w:eastAsia="方正仿宋_GBK" w:cs="方正仿宋_GBK"/>
          <w:color w:val="000000"/>
          <w:sz w:val="32"/>
          <w:szCs w:val="32"/>
          <w:lang w:val="en-US" w:eastAsia="zh-CN"/>
        </w:rPr>
        <w:t>年</w:t>
      </w:r>
      <w:r>
        <w:rPr>
          <w:rFonts w:hint="eastAsia" w:eastAsia="方正仿宋_GBK" w:cs="方正仿宋_GBK"/>
          <w:color w:val="000000"/>
          <w:sz w:val="32"/>
          <w:szCs w:val="32"/>
          <w:lang w:val="en-US" w:eastAsia="zh-CN"/>
        </w:rPr>
        <w:t>采取</w:t>
      </w:r>
      <w:r>
        <w:rPr>
          <w:rFonts w:hint="eastAsia" w:ascii="宋体" w:hAnsi="宋体" w:eastAsia="方正仿宋_GBK" w:cs="方正仿宋_GBK"/>
          <w:color w:val="000000"/>
          <w:sz w:val="32"/>
          <w:szCs w:val="32"/>
          <w:lang w:val="en-US" w:eastAsia="zh-CN"/>
        </w:rPr>
        <w:t>多方联动多领域开展监督检查，驰而不息正风肃纪，坚定不移惩贪治腐，纵深推进党风廉政建设和反腐败工作</w:t>
      </w:r>
      <w:r>
        <w:rPr>
          <w:rFonts w:hint="eastAsia" w:eastAsia="方正仿宋_GBK" w:cs="方正仿宋_GBK"/>
          <w:color w:val="000000"/>
          <w:sz w:val="32"/>
          <w:szCs w:val="32"/>
          <w:lang w:val="en-US" w:eastAsia="zh-CN"/>
        </w:rPr>
        <w:t>；</w:t>
      </w:r>
      <w:r>
        <w:rPr>
          <w:rFonts w:hint="eastAsia" w:ascii="宋体" w:hAnsi="宋体" w:eastAsia="方正仿宋_GBK" w:cs="方正仿宋_GBK"/>
          <w:color w:val="000000"/>
          <w:sz w:val="32"/>
          <w:szCs w:val="32"/>
          <w:lang w:val="en-US" w:eastAsia="zh-CN"/>
        </w:rPr>
        <w:t>通过开展“大宣传扬正气”系列活动，发挥电视、报刊、新媒体等作用，科学谋划，充分展示“清廉安岳”的进展动态，深入挖掘“清廉安岳”建设中的先进典型，特色亮点开展广泛宣传，进一步增强党员干部廉洁法律意识，提升我县党风廉政建设和反腐败工作影响力</w:t>
      </w:r>
      <w:r>
        <w:rPr>
          <w:rFonts w:hint="eastAsia" w:eastAsia="方正仿宋_GBK" w:cs="方正仿宋_GBK"/>
          <w:color w:val="000000"/>
          <w:sz w:val="32"/>
          <w:szCs w:val="32"/>
          <w:lang w:val="en-US" w:eastAsia="zh-CN"/>
        </w:rPr>
        <w:t>。</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宋体"/>
          <w:color w:val="000000"/>
          <w:kern w:val="0"/>
          <w:sz w:val="32"/>
          <w:szCs w:val="32"/>
          <w:lang w:eastAsia="zh-CN"/>
        </w:rPr>
        <w:t>（</w:t>
      </w:r>
      <w:r>
        <w:rPr>
          <w:rFonts w:hint="eastAsia" w:ascii="宋体" w:hAnsi="宋体" w:eastAsia="方正仿宋_GBK" w:cs="宋体"/>
          <w:color w:val="000000"/>
          <w:kern w:val="0"/>
          <w:sz w:val="32"/>
          <w:szCs w:val="32"/>
          <w:lang w:val="en-US" w:eastAsia="zh-CN"/>
        </w:rPr>
        <w:t>1</w:t>
      </w:r>
      <w:r>
        <w:rPr>
          <w:rFonts w:hint="eastAsia" w:ascii="宋体" w:hAnsi="宋体" w:eastAsia="方正仿宋_GBK" w:cs="宋体"/>
          <w:color w:val="000000"/>
          <w:kern w:val="0"/>
          <w:sz w:val="32"/>
          <w:szCs w:val="32"/>
          <w:lang w:eastAsia="zh-CN"/>
        </w:rPr>
        <w:t>）</w:t>
      </w:r>
      <w:r>
        <w:rPr>
          <w:rFonts w:hint="eastAsia" w:ascii="宋体" w:hAnsi="宋体" w:eastAsia="方正仿宋_GBK" w:cs="方正仿宋_GBK"/>
          <w:color w:val="000000"/>
          <w:kern w:val="0"/>
          <w:sz w:val="32"/>
          <w:szCs w:val="32"/>
        </w:rPr>
        <w:t>目标完成情况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default" w:ascii="宋体" w:hAnsi="宋体" w:eastAsia="方正仿宋_GBK" w:cs="方正仿宋_GBK"/>
          <w:color w:val="000000"/>
          <w:sz w:val="32"/>
          <w:szCs w:val="32"/>
          <w:lang w:val="en-US" w:eastAsia="zh-CN"/>
        </w:rPr>
      </w:pPr>
      <w:r>
        <w:rPr>
          <w:rFonts w:hint="eastAsia" w:ascii="宋体" w:hAnsi="宋体" w:eastAsia="方正仿宋_GBK" w:cs="方正仿宋_GBK"/>
          <w:color w:val="000000"/>
          <w:sz w:val="32"/>
          <w:szCs w:val="32"/>
          <w:lang w:val="en-US" w:eastAsia="zh-CN"/>
        </w:rPr>
        <w:t>党风</w:t>
      </w:r>
      <w:r>
        <w:rPr>
          <w:rFonts w:hint="eastAsia" w:eastAsia="方正仿宋_GBK" w:cs="方正仿宋_GBK"/>
          <w:color w:val="000000"/>
          <w:sz w:val="32"/>
          <w:szCs w:val="32"/>
          <w:lang w:val="en-US" w:eastAsia="zh-CN"/>
        </w:rPr>
        <w:t>廉政建设</w:t>
      </w:r>
      <w:r>
        <w:rPr>
          <w:rFonts w:hint="eastAsia" w:ascii="宋体" w:hAnsi="宋体" w:eastAsia="方正仿宋_GBK" w:cs="方正仿宋_GBK"/>
          <w:color w:val="000000"/>
          <w:sz w:val="32"/>
          <w:szCs w:val="32"/>
          <w:lang w:val="en-US" w:eastAsia="zh-CN"/>
        </w:rPr>
        <w:t>宣传教育：拍摄和制作综述片1个</w:t>
      </w:r>
      <w:r>
        <w:rPr>
          <w:rFonts w:hint="eastAsia" w:eastAsia="方正仿宋_GBK" w:cs="方正仿宋_GBK"/>
          <w:color w:val="000000"/>
          <w:sz w:val="32"/>
          <w:szCs w:val="32"/>
          <w:lang w:val="en-US" w:eastAsia="zh-CN"/>
        </w:rPr>
        <w:t>；创作警示教育视频短剧、微视频</w:t>
      </w:r>
      <w:r>
        <w:rPr>
          <w:rFonts w:hint="eastAsia" w:ascii="宋体" w:hAnsi="宋体" w:eastAsia="方正仿宋_GBK" w:cs="方正仿宋_GBK"/>
          <w:color w:val="000000"/>
          <w:sz w:val="32"/>
          <w:szCs w:val="32"/>
          <w:lang w:val="en-US" w:eastAsia="zh-CN"/>
        </w:rPr>
        <w:t>2个</w:t>
      </w:r>
      <w:r>
        <w:rPr>
          <w:rFonts w:hint="eastAsia" w:eastAsia="方正仿宋_GBK" w:cs="方正仿宋_GBK"/>
          <w:color w:val="000000"/>
          <w:sz w:val="32"/>
          <w:szCs w:val="32"/>
          <w:lang w:val="en-US" w:eastAsia="zh-CN"/>
        </w:rPr>
        <w:t>并</w:t>
      </w:r>
      <w:r>
        <w:rPr>
          <w:rFonts w:hint="eastAsia" w:ascii="宋体" w:hAnsi="宋体" w:eastAsia="方正仿宋_GBK" w:cs="方正仿宋_GBK"/>
          <w:color w:val="000000"/>
          <w:sz w:val="32"/>
          <w:szCs w:val="32"/>
          <w:lang w:val="en-US" w:eastAsia="zh-CN"/>
        </w:rPr>
        <w:t>在省纪委监委网站、微信平台</w:t>
      </w:r>
      <w:r>
        <w:rPr>
          <w:rFonts w:hint="eastAsia" w:eastAsia="方正仿宋_GBK" w:cs="方正仿宋_GBK"/>
          <w:color w:val="000000"/>
          <w:sz w:val="32"/>
          <w:szCs w:val="32"/>
          <w:lang w:val="en-US" w:eastAsia="zh-CN"/>
        </w:rPr>
        <w:t>进行</w:t>
      </w:r>
      <w:r>
        <w:rPr>
          <w:rFonts w:hint="eastAsia" w:ascii="宋体" w:hAnsi="宋体" w:eastAsia="方正仿宋_GBK" w:cs="方正仿宋_GBK"/>
          <w:color w:val="000000"/>
          <w:sz w:val="32"/>
          <w:szCs w:val="32"/>
          <w:lang w:val="en-US" w:eastAsia="zh-CN"/>
        </w:rPr>
        <w:t>刊播</w:t>
      </w:r>
      <w:r>
        <w:rPr>
          <w:rFonts w:hint="eastAsia" w:eastAsia="方正仿宋_GBK" w:cs="方正仿宋_GBK"/>
          <w:color w:val="000000"/>
          <w:sz w:val="32"/>
          <w:szCs w:val="32"/>
          <w:lang w:val="en-US" w:eastAsia="zh-CN"/>
        </w:rPr>
        <w:t>；联合制播我县党风廉政和反腐败工作成效方面的正面电视新闻12条；</w:t>
      </w:r>
      <w:r>
        <w:rPr>
          <w:rFonts w:hint="eastAsia" w:ascii="宋体" w:hAnsi="宋体" w:eastAsia="方正仿宋_GBK" w:cs="方正仿宋_GBK"/>
          <w:color w:val="000000"/>
          <w:sz w:val="32"/>
          <w:szCs w:val="32"/>
          <w:lang w:val="en-US" w:eastAsia="zh-CN"/>
        </w:rPr>
        <w:t>制作机关氛围展板8块</w:t>
      </w:r>
      <w:r>
        <w:rPr>
          <w:rFonts w:hint="eastAsia" w:eastAsia="方正仿宋_GBK" w:cs="方正仿宋_GBK"/>
          <w:color w:val="000000"/>
          <w:sz w:val="32"/>
          <w:szCs w:val="32"/>
          <w:lang w:val="en-US" w:eastAsia="zh-CN"/>
        </w:rPr>
        <w:t>、纪检监察（巡察）工作展示9块，标语10幅；</w:t>
      </w:r>
      <w:r>
        <w:rPr>
          <w:rFonts w:hint="eastAsia" w:ascii="宋体" w:hAnsi="宋体" w:eastAsia="方正仿宋_GBK" w:cs="方正仿宋_GBK"/>
          <w:color w:val="000000"/>
          <w:sz w:val="32"/>
          <w:szCs w:val="32"/>
          <w:lang w:val="en-US" w:eastAsia="zh-CN"/>
        </w:rPr>
        <w:t>与四川电视台联合编辑稿件14条</w:t>
      </w:r>
      <w:r>
        <w:rPr>
          <w:rFonts w:hint="eastAsia" w:eastAsia="方正仿宋_GBK" w:cs="方正仿宋_GBK"/>
          <w:color w:val="000000"/>
          <w:sz w:val="32"/>
          <w:szCs w:val="32"/>
          <w:lang w:val="en-US" w:eastAsia="zh-CN"/>
        </w:rPr>
        <w:t>；制作</w:t>
      </w:r>
      <w:r>
        <w:rPr>
          <w:rFonts w:hint="eastAsia" w:ascii="宋体" w:hAnsi="宋体" w:eastAsia="方正仿宋_GBK" w:cs="方正仿宋_GBK"/>
          <w:color w:val="000000"/>
          <w:sz w:val="32"/>
          <w:szCs w:val="32"/>
          <w:lang w:val="en-US" w:eastAsia="zh-CN"/>
        </w:rPr>
        <w:t>清廉包、清风扇、清廉安岳LOGO</w:t>
      </w:r>
      <w:r>
        <w:rPr>
          <w:rFonts w:hint="eastAsia" w:eastAsia="方正仿宋_GBK" w:cs="方正仿宋_GBK"/>
          <w:color w:val="000000"/>
          <w:sz w:val="32"/>
          <w:szCs w:val="32"/>
          <w:lang w:val="en-US" w:eastAsia="zh-CN"/>
        </w:rPr>
        <w:t>宣传产品</w:t>
      </w:r>
      <w:r>
        <w:rPr>
          <w:rFonts w:hint="eastAsia" w:ascii="宋体" w:hAnsi="宋体" w:eastAsia="方正仿宋_GBK" w:cs="方正仿宋_GBK"/>
          <w:color w:val="000000"/>
          <w:sz w:val="32"/>
          <w:szCs w:val="32"/>
          <w:lang w:val="en-US" w:eastAsia="zh-CN"/>
        </w:rPr>
        <w:t>，</w:t>
      </w:r>
      <w:r>
        <w:rPr>
          <w:rFonts w:hint="eastAsia" w:eastAsia="方正仿宋_GBK" w:cs="方正仿宋_GBK"/>
          <w:color w:val="000000"/>
          <w:sz w:val="32"/>
          <w:szCs w:val="32"/>
          <w:lang w:val="en-US" w:eastAsia="zh-CN"/>
        </w:rPr>
        <w:t>与</w:t>
      </w:r>
      <w:r>
        <w:rPr>
          <w:rFonts w:hint="eastAsia" w:ascii="宋体" w:hAnsi="宋体" w:eastAsia="方正仿宋_GBK" w:cs="方正仿宋_GBK"/>
          <w:color w:val="000000"/>
          <w:sz w:val="32"/>
          <w:szCs w:val="32"/>
          <w:lang w:val="en-US" w:eastAsia="zh-CN"/>
        </w:rPr>
        <w:t>县融媒体协助拍摄公益广告3部，</w:t>
      </w:r>
      <w:r>
        <w:rPr>
          <w:rFonts w:hint="eastAsia" w:eastAsia="方正仿宋_GBK" w:cs="方正仿宋_GBK"/>
          <w:color w:val="000000"/>
          <w:sz w:val="32"/>
          <w:szCs w:val="32"/>
          <w:lang w:val="en-US" w:eastAsia="zh-CN"/>
        </w:rPr>
        <w:t>拍摄</w:t>
      </w:r>
      <w:r>
        <w:rPr>
          <w:rFonts w:hint="eastAsia" w:ascii="宋体" w:hAnsi="宋体" w:eastAsia="方正仿宋_GBK" w:cs="方正仿宋_GBK"/>
          <w:color w:val="000000"/>
          <w:sz w:val="32"/>
          <w:szCs w:val="32"/>
          <w:lang w:val="en-US" w:eastAsia="zh-CN"/>
        </w:rPr>
        <w:t>“好风传家”微视频2部</w:t>
      </w:r>
      <w:r>
        <w:rPr>
          <w:rFonts w:hint="eastAsia" w:eastAsia="方正仿宋_GBK" w:cs="方正仿宋_GBK"/>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宋体" w:hAnsi="宋体" w:eastAsia="方正楷体_GBK" w:cs="方正楷体_GBK"/>
          <w:b/>
          <w:bCs/>
          <w:sz w:val="32"/>
          <w:szCs w:val="32"/>
          <w:lang w:val="en-US" w:eastAsia="zh-CN"/>
        </w:rPr>
      </w:pPr>
      <w:r>
        <w:rPr>
          <w:rFonts w:hint="eastAsia" w:ascii="宋体" w:hAnsi="宋体" w:eastAsia="方正仿宋_GBK" w:cs="方正仿宋_GBK"/>
          <w:color w:val="000000"/>
          <w:sz w:val="32"/>
          <w:szCs w:val="32"/>
          <w:lang w:val="en-US" w:eastAsia="zh-CN"/>
        </w:rPr>
        <w:t>专项监督检查：</w:t>
      </w:r>
      <w:r>
        <w:rPr>
          <w:rFonts w:hint="eastAsia" w:ascii="宋体" w:hAnsi="宋体" w:eastAsia="方正仿宋简体" w:cs="方正仿宋简体"/>
          <w:color w:val="auto"/>
          <w:sz w:val="32"/>
          <w:szCs w:val="32"/>
        </w:rPr>
        <w:t>聚焦</w:t>
      </w:r>
      <w:r>
        <w:rPr>
          <w:rFonts w:hint="eastAsia" w:ascii="宋体" w:hAnsi="宋体" w:eastAsia="方正仿宋_GBK" w:cs="方正仿宋_GBK"/>
          <w:kern w:val="2"/>
          <w:sz w:val="32"/>
          <w:szCs w:val="32"/>
          <w:lang w:val="en-US" w:eastAsia="zh-CN" w:bidi="ar-SA"/>
        </w:rPr>
        <w:t>乡村振兴、粮食安全、安全生产</w:t>
      </w:r>
      <w:r>
        <w:rPr>
          <w:rFonts w:hint="eastAsia" w:ascii="宋体" w:hAnsi="宋体" w:eastAsia="方正仿宋简体" w:cs="方正仿宋简体"/>
          <w:color w:val="auto"/>
          <w:sz w:val="32"/>
          <w:szCs w:val="32"/>
        </w:rPr>
        <w:t>等</w:t>
      </w:r>
      <w:r>
        <w:rPr>
          <w:rFonts w:hint="eastAsia" w:ascii="宋体" w:hAnsi="宋体" w:eastAsia="方正仿宋_GBK"/>
          <w:sz w:val="32"/>
          <w:szCs w:val="32"/>
        </w:rPr>
        <w:t>“国之大者”开展立项监督12个</w:t>
      </w:r>
      <w:r>
        <w:rPr>
          <w:rFonts w:hint="eastAsia" w:ascii="宋体" w:hAnsi="宋体" w:eastAsia="方正仿宋_GBK"/>
          <w:sz w:val="32"/>
          <w:szCs w:val="32"/>
          <w:lang w:eastAsia="zh-CN"/>
        </w:rPr>
        <w:t>，</w:t>
      </w:r>
      <w:r>
        <w:rPr>
          <w:rFonts w:hint="eastAsia" w:ascii="宋体" w:hAnsi="宋体" w:eastAsia="方正仿宋_GBK" w:cs="方正仿宋_GBK"/>
          <w:kern w:val="2"/>
          <w:sz w:val="32"/>
          <w:szCs w:val="32"/>
          <w:lang w:val="en-US" w:eastAsia="zh-CN" w:bidi="ar-SA"/>
        </w:rPr>
        <w:t>监督检查2700余次、督促整改问题2600余个；开展</w:t>
      </w:r>
      <w:r>
        <w:rPr>
          <w:rFonts w:hint="eastAsia" w:ascii="宋体" w:hAnsi="宋体" w:eastAsia="方正仿宋_GBK" w:cs="宋体"/>
          <w:bCs/>
          <w:kern w:val="2"/>
          <w:sz w:val="32"/>
          <w:szCs w:val="32"/>
          <w:lang w:val="en-US" w:eastAsia="zh-CN" w:bidi="ar-SA"/>
        </w:rPr>
        <w:t>重点行业、重点领域及关键环节、关键对象，推动农村乱占耕地建房专项整治、村（社区）集体“三资”提级监督等专项整治16项；</w:t>
      </w:r>
      <w:r>
        <w:rPr>
          <w:rFonts w:hint="eastAsia" w:ascii="宋体" w:hAnsi="宋体" w:eastAsia="方正仿宋_GBK" w:cs="宋体"/>
          <w:kern w:val="2"/>
          <w:sz w:val="32"/>
          <w:szCs w:val="32"/>
          <w:lang w:val="en-US" w:eastAsia="zh-CN" w:bidi="ar-SA"/>
        </w:rPr>
        <w:t>开展联合监督检查3轮，</w:t>
      </w:r>
      <w:r>
        <w:rPr>
          <w:rFonts w:hint="eastAsia" w:ascii="宋体" w:hAnsi="宋体" w:eastAsia="方正仿宋_GBK" w:cs="方正仿宋_GBK"/>
          <w:sz w:val="32"/>
          <w:szCs w:val="32"/>
          <w:lang w:val="en-US" w:eastAsia="zh-CN"/>
        </w:rPr>
        <w:t>节假日监督检查3轮，</w:t>
      </w:r>
      <w:r>
        <w:rPr>
          <w:rFonts w:hint="eastAsia" w:ascii="宋体" w:hAnsi="宋体" w:eastAsia="方正仿宋_GBK" w:cs="宋体"/>
          <w:kern w:val="2"/>
          <w:sz w:val="32"/>
          <w:szCs w:val="32"/>
          <w:lang w:val="en-US" w:eastAsia="zh-CN" w:bidi="ar-SA"/>
        </w:rPr>
        <w:t>开展成渝中线高铁、资大文旅融合等跨省项目监督30余次，以“小切口”专项治理的方式处理“挂证”公职人员35人、收缴违纪违法所得15.4万元，查处破坏营商环境问题36人</w:t>
      </w:r>
      <w:r>
        <w:rPr>
          <w:rFonts w:hint="eastAsia" w:ascii="宋体" w:hAnsi="宋体" w:eastAsia="方正仿宋_GBK" w:cs="方正仿宋_GBK"/>
          <w:sz w:val="32"/>
          <w:szCs w:val="32"/>
          <w:u w:val="none"/>
        </w:rPr>
        <w:t>。</w:t>
      </w:r>
      <w:r>
        <w:rPr>
          <w:rFonts w:hint="eastAsia" w:ascii="宋体" w:hAnsi="宋体" w:eastAsia="方正仿宋_GBK" w:cs="方正仿宋_GBK"/>
          <w:sz w:val="32"/>
          <w:szCs w:val="32"/>
          <w:lang w:val="en-US" w:eastAsia="zh-CN"/>
        </w:rPr>
        <w:t xml:space="preserve"> </w:t>
      </w:r>
      <w:r>
        <w:rPr>
          <w:rFonts w:hint="eastAsia" w:ascii="宋体" w:hAnsi="宋体" w:eastAsia="方正楷体_GBK" w:cs="方正楷体_GBK"/>
          <w:b/>
          <w:bCs/>
          <w:sz w:val="32"/>
          <w:szCs w:val="32"/>
          <w:lang w:val="en-US" w:eastAsia="zh-CN"/>
        </w:rPr>
        <w:t xml:space="preserve">  </w:t>
      </w:r>
    </w:p>
    <w:p>
      <w:pPr>
        <w:spacing w:line="590" w:lineRule="exact"/>
        <w:ind w:firstLine="640" w:firstLineChars="200"/>
        <w:rPr>
          <w:rFonts w:hint="eastAsia" w:ascii="宋体" w:hAnsi="宋体" w:eastAsia="方正仿宋_GBK" w:cs="方正仿宋_GBK"/>
          <w:color w:val="000000"/>
          <w:kern w:val="0"/>
          <w:sz w:val="32"/>
          <w:szCs w:val="32"/>
        </w:rPr>
      </w:pPr>
      <w:r>
        <w:rPr>
          <w:rFonts w:hint="eastAsia" w:ascii="宋体" w:hAnsi="宋体" w:eastAsia="方正仿宋_GBK" w:cs="宋体"/>
          <w:color w:val="000000"/>
          <w:kern w:val="0"/>
          <w:sz w:val="32"/>
          <w:szCs w:val="32"/>
          <w:lang w:eastAsia="zh-CN"/>
        </w:rPr>
        <w:t>（</w:t>
      </w:r>
      <w:r>
        <w:rPr>
          <w:rFonts w:hint="eastAsia" w:ascii="宋体" w:hAnsi="宋体" w:eastAsia="方正仿宋_GBK" w:cs="宋体"/>
          <w:color w:val="000000"/>
          <w:kern w:val="0"/>
          <w:sz w:val="32"/>
          <w:szCs w:val="32"/>
          <w:lang w:val="en-US" w:eastAsia="zh-CN"/>
        </w:rPr>
        <w:t>2</w:t>
      </w:r>
      <w:r>
        <w:rPr>
          <w:rFonts w:hint="eastAsia" w:ascii="宋体" w:hAnsi="宋体" w:eastAsia="方正仿宋_GBK" w:cs="宋体"/>
          <w:color w:val="000000"/>
          <w:kern w:val="0"/>
          <w:sz w:val="32"/>
          <w:szCs w:val="32"/>
          <w:lang w:eastAsia="zh-CN"/>
        </w:rPr>
        <w:t>）</w:t>
      </w:r>
      <w:r>
        <w:rPr>
          <w:rFonts w:hint="eastAsia" w:ascii="宋体" w:hAnsi="宋体" w:eastAsia="方正仿宋_GBK" w:cs="方正仿宋_GBK"/>
          <w:color w:val="000000"/>
          <w:kern w:val="0"/>
          <w:sz w:val="32"/>
          <w:szCs w:val="32"/>
        </w:rPr>
        <w:t>项目效益情况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该项目</w:t>
      </w:r>
      <w:r>
        <w:rPr>
          <w:rFonts w:hint="eastAsia" w:ascii="宋体" w:hAnsi="宋体" w:eastAsia="方正仿宋_GBK" w:cs="方正仿宋_GBK"/>
          <w:color w:val="000000"/>
          <w:sz w:val="32"/>
          <w:szCs w:val="32"/>
          <w:lang w:val="en-US" w:eastAsia="zh-CN"/>
        </w:rPr>
        <w:t>能够</w:t>
      </w:r>
      <w:r>
        <w:rPr>
          <w:rFonts w:hint="eastAsia" w:ascii="宋体" w:hAnsi="宋体" w:eastAsia="方正仿宋_GBK" w:cs="方正仿宋_GBK"/>
          <w:color w:val="000000"/>
          <w:sz w:val="32"/>
          <w:szCs w:val="32"/>
        </w:rPr>
        <w:t>按照时间节点</w:t>
      </w:r>
      <w:r>
        <w:rPr>
          <w:rFonts w:hint="eastAsia" w:eastAsia="方正仿宋_GBK" w:cs="方正仿宋_GBK"/>
          <w:color w:val="000000"/>
          <w:sz w:val="32"/>
          <w:szCs w:val="32"/>
          <w:lang w:val="en-US" w:eastAsia="zh-CN"/>
        </w:rPr>
        <w:t>有序推进各项工作任务</w:t>
      </w:r>
      <w:r>
        <w:rPr>
          <w:rFonts w:hint="eastAsia" w:eastAsia="方正仿宋_GBK" w:cs="方正仿宋_GBK"/>
          <w:color w:val="000000"/>
          <w:sz w:val="32"/>
          <w:szCs w:val="32"/>
          <w:lang w:eastAsia="zh-CN"/>
        </w:rPr>
        <w:t>，</w:t>
      </w:r>
      <w:r>
        <w:rPr>
          <w:rFonts w:hint="eastAsia" w:ascii="宋体" w:hAnsi="宋体" w:eastAsia="方正仿宋_GBK" w:cs="方正仿宋_GBK"/>
          <w:color w:val="000000"/>
          <w:sz w:val="32"/>
          <w:szCs w:val="32"/>
        </w:rPr>
        <w:t>结合实际</w:t>
      </w:r>
      <w:r>
        <w:rPr>
          <w:rFonts w:hint="eastAsia" w:ascii="宋体" w:hAnsi="宋体" w:eastAsia="方正仿宋_GBK" w:cs="方正仿宋_GBK"/>
          <w:color w:val="000000"/>
          <w:sz w:val="32"/>
          <w:szCs w:val="32"/>
          <w:lang w:val="en-US" w:eastAsia="zh-CN"/>
        </w:rPr>
        <w:t>不断</w:t>
      </w:r>
      <w:r>
        <w:rPr>
          <w:rFonts w:hint="eastAsia" w:ascii="宋体" w:hAnsi="宋体" w:eastAsia="方正仿宋_GBK" w:cs="方正仿宋_GBK"/>
          <w:color w:val="000000"/>
          <w:sz w:val="32"/>
          <w:szCs w:val="32"/>
        </w:rPr>
        <w:t>优化</w:t>
      </w:r>
      <w:r>
        <w:rPr>
          <w:rFonts w:hint="eastAsia" w:ascii="宋体" w:hAnsi="宋体" w:eastAsia="方正仿宋_GBK" w:cs="方正仿宋_GBK"/>
          <w:color w:val="000000"/>
          <w:sz w:val="32"/>
          <w:szCs w:val="32"/>
          <w:lang w:val="en-US" w:eastAsia="zh-CN"/>
        </w:rPr>
        <w:t>畅通</w:t>
      </w:r>
      <w:r>
        <w:rPr>
          <w:rFonts w:hint="eastAsia" w:ascii="宋体" w:hAnsi="宋体" w:eastAsia="方正仿宋_GBK" w:cs="方正仿宋_GBK"/>
          <w:color w:val="000000"/>
          <w:sz w:val="32"/>
          <w:szCs w:val="32"/>
        </w:rPr>
        <w:t>各</w:t>
      </w:r>
      <w:r>
        <w:rPr>
          <w:rFonts w:hint="eastAsia" w:eastAsia="方正仿宋_GBK" w:cs="方正仿宋_GBK"/>
          <w:color w:val="000000"/>
          <w:sz w:val="32"/>
          <w:szCs w:val="32"/>
          <w:lang w:val="en-US" w:eastAsia="zh-CN"/>
        </w:rPr>
        <w:t>个</w:t>
      </w:r>
      <w:r>
        <w:rPr>
          <w:rFonts w:hint="eastAsia" w:ascii="宋体" w:hAnsi="宋体" w:eastAsia="方正仿宋_GBK" w:cs="方正仿宋_GBK"/>
          <w:color w:val="000000"/>
          <w:sz w:val="32"/>
          <w:szCs w:val="32"/>
        </w:rPr>
        <w:t>环节</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严控</w:t>
      </w:r>
      <w:r>
        <w:rPr>
          <w:rFonts w:hint="eastAsia" w:ascii="宋体" w:hAnsi="宋体" w:eastAsia="方正仿宋_GBK" w:cs="方正仿宋_GBK"/>
          <w:color w:val="000000"/>
          <w:sz w:val="32"/>
          <w:szCs w:val="32"/>
        </w:rPr>
        <w:t>开支</w:t>
      </w:r>
      <w:r>
        <w:rPr>
          <w:rFonts w:hint="eastAsia"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强化监管，</w:t>
      </w:r>
      <w:r>
        <w:rPr>
          <w:rFonts w:hint="eastAsia" w:ascii="宋体" w:hAnsi="宋体" w:eastAsia="方正仿宋_GBK" w:cs="方正仿宋_GBK"/>
          <w:color w:val="000000"/>
          <w:sz w:val="32"/>
          <w:szCs w:val="32"/>
        </w:rPr>
        <w:t>各项支出均做到专款专用</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审批</w:t>
      </w:r>
      <w:r>
        <w:rPr>
          <w:rFonts w:hint="eastAsia" w:eastAsia="方正仿宋_GBK" w:cs="方正仿宋_GBK"/>
          <w:color w:val="000000"/>
          <w:sz w:val="32"/>
          <w:szCs w:val="32"/>
          <w:lang w:val="en-US" w:eastAsia="zh-CN"/>
        </w:rPr>
        <w:t>程序</w:t>
      </w:r>
      <w:r>
        <w:rPr>
          <w:rFonts w:hint="eastAsia" w:ascii="宋体" w:hAnsi="宋体" w:eastAsia="方正仿宋_GBK" w:cs="方正仿宋_GBK"/>
          <w:color w:val="000000"/>
          <w:sz w:val="32"/>
          <w:szCs w:val="32"/>
          <w:lang w:val="en-US" w:eastAsia="zh-CN"/>
        </w:rPr>
        <w:t>合规</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票据齐全规范，提高了资金使用的及时性、安全性、效益性</w:t>
      </w:r>
      <w:r>
        <w:rPr>
          <w:rFonts w:hint="eastAsia" w:ascii="宋体" w:hAnsi="宋体" w:eastAsia="方正仿宋_GBK" w:cs="方正仿宋_GBK"/>
          <w:color w:val="000000"/>
          <w:sz w:val="32"/>
          <w:szCs w:val="32"/>
        </w:rPr>
        <w:t>。</w:t>
      </w:r>
    </w:p>
    <w:p>
      <w:pPr>
        <w:pStyle w:val="1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b/>
          <w:bCs/>
          <w:color w:val="000000"/>
          <w:sz w:val="32"/>
          <w:szCs w:val="32"/>
          <w:lang w:val="en-US" w:eastAsia="zh-CN"/>
        </w:rPr>
      </w:pPr>
      <w:r>
        <w:rPr>
          <w:rFonts w:hint="eastAsia" w:eastAsia="方正仿宋_GBK" w:cs="方正仿宋_GBK"/>
          <w:b/>
          <w:bCs/>
          <w:color w:val="000000"/>
          <w:sz w:val="32"/>
          <w:szCs w:val="32"/>
          <w:lang w:val="en-US" w:eastAsia="zh-CN"/>
        </w:rPr>
        <w:t>4.项目</w:t>
      </w:r>
      <w:r>
        <w:rPr>
          <w:rFonts w:hint="eastAsia" w:ascii="宋体" w:hAnsi="宋体" w:eastAsia="方正仿宋_GBK" w:cs="方正仿宋_GBK"/>
          <w:b/>
          <w:bCs/>
          <w:color w:val="000000"/>
          <w:sz w:val="32"/>
          <w:szCs w:val="32"/>
        </w:rPr>
        <w:t>组织及管理</w:t>
      </w:r>
      <w:r>
        <w:rPr>
          <w:rFonts w:hint="eastAsia" w:eastAsia="方正仿宋_GBK" w:cs="方正仿宋_GBK"/>
          <w:b/>
          <w:bCs/>
          <w:color w:val="000000"/>
          <w:sz w:val="32"/>
          <w:szCs w:val="32"/>
          <w:lang w:val="en-US" w:eastAsia="zh-CN"/>
        </w:rPr>
        <w:t>情况</w:t>
      </w:r>
    </w:p>
    <w:p>
      <w:pPr>
        <w:pStyle w:val="17"/>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（1）项目组织情况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eastAsia="方正仿宋_GBK" w:cs="方正仿宋_GBK"/>
          <w:color w:val="000000"/>
          <w:sz w:val="32"/>
          <w:szCs w:val="32"/>
          <w:lang w:val="en-US" w:eastAsia="zh-CN"/>
        </w:rPr>
        <w:t>提高思想认识</w:t>
      </w:r>
      <w:r>
        <w:rPr>
          <w:rFonts w:hint="eastAsia" w:ascii="宋体" w:hAnsi="宋体" w:eastAsia="方正仿宋_GBK" w:cs="方正仿宋_GBK"/>
          <w:color w:val="000000"/>
          <w:sz w:val="32"/>
          <w:szCs w:val="32"/>
        </w:rPr>
        <w:t>，</w:t>
      </w:r>
      <w:r>
        <w:rPr>
          <w:rFonts w:hint="eastAsia" w:eastAsia="方正仿宋_GBK" w:cs="方正仿宋_GBK"/>
          <w:color w:val="000000"/>
          <w:sz w:val="32"/>
          <w:szCs w:val="32"/>
          <w:lang w:val="en-US" w:eastAsia="zh-CN"/>
        </w:rPr>
        <w:t>建立完善各项</w:t>
      </w:r>
      <w:r>
        <w:rPr>
          <w:rFonts w:hint="eastAsia" w:ascii="宋体" w:hAnsi="宋体" w:eastAsia="方正仿宋_GBK" w:cs="方正仿宋_GBK"/>
          <w:color w:val="000000"/>
          <w:sz w:val="32"/>
          <w:szCs w:val="32"/>
        </w:rPr>
        <w:t>制度</w:t>
      </w:r>
      <w:r>
        <w:rPr>
          <w:rFonts w:hint="eastAsia" w:eastAsia="方正仿宋_GBK" w:cs="方正仿宋_GBK"/>
          <w:color w:val="000000"/>
          <w:sz w:val="32"/>
          <w:szCs w:val="32"/>
          <w:lang w:eastAsia="zh-CN"/>
        </w:rPr>
        <w:t>，</w:t>
      </w:r>
      <w:r>
        <w:rPr>
          <w:rFonts w:hint="eastAsia" w:eastAsia="方正仿宋_GBK" w:cs="方正仿宋_GBK"/>
          <w:color w:val="000000"/>
          <w:sz w:val="32"/>
          <w:szCs w:val="32"/>
          <w:lang w:val="en-US" w:eastAsia="zh-CN"/>
        </w:rPr>
        <w:t>制定项目实施方案，</w:t>
      </w:r>
      <w:r>
        <w:rPr>
          <w:rFonts w:hint="eastAsia" w:ascii="宋体" w:hAnsi="宋体" w:eastAsia="方正仿宋_GBK" w:cs="方正仿宋_GBK"/>
          <w:color w:val="000000"/>
          <w:sz w:val="32"/>
          <w:szCs w:val="32"/>
        </w:rPr>
        <w:t>定期</w:t>
      </w:r>
      <w:r>
        <w:rPr>
          <w:rFonts w:hint="eastAsia" w:eastAsia="方正仿宋_GBK" w:cs="方正仿宋_GBK"/>
          <w:color w:val="000000"/>
          <w:sz w:val="32"/>
          <w:szCs w:val="32"/>
          <w:lang w:val="en-US" w:eastAsia="zh-CN"/>
        </w:rPr>
        <w:t>开会研究部署工作，召集</w:t>
      </w:r>
      <w:r>
        <w:rPr>
          <w:rFonts w:hint="eastAsia" w:ascii="宋体" w:hAnsi="宋体" w:eastAsia="方正仿宋_GBK" w:cs="方正仿宋_GBK"/>
          <w:color w:val="000000"/>
          <w:sz w:val="32"/>
          <w:szCs w:val="32"/>
        </w:rPr>
        <w:t>各</w:t>
      </w:r>
      <w:r>
        <w:rPr>
          <w:rFonts w:hint="eastAsia" w:eastAsia="方正仿宋_GBK" w:cs="方正仿宋_GBK"/>
          <w:color w:val="000000"/>
          <w:sz w:val="32"/>
          <w:szCs w:val="32"/>
          <w:lang w:val="en-US" w:eastAsia="zh-CN"/>
        </w:rPr>
        <w:t>相关</w:t>
      </w:r>
      <w:r>
        <w:rPr>
          <w:rFonts w:hint="eastAsia" w:ascii="宋体" w:hAnsi="宋体" w:eastAsia="方正仿宋_GBK" w:cs="方正仿宋_GBK"/>
          <w:color w:val="000000"/>
          <w:sz w:val="32"/>
          <w:szCs w:val="32"/>
        </w:rPr>
        <w:t>责任人沟通协调，了解项目进展情况，</w:t>
      </w:r>
      <w:r>
        <w:rPr>
          <w:rFonts w:hint="eastAsia" w:eastAsia="方正仿宋_GBK" w:cs="方正仿宋_GBK"/>
          <w:color w:val="000000"/>
          <w:sz w:val="32"/>
          <w:szCs w:val="32"/>
          <w:lang w:val="en-US" w:eastAsia="zh-CN"/>
        </w:rPr>
        <w:t>共同分析</w:t>
      </w:r>
      <w:r>
        <w:rPr>
          <w:rFonts w:hint="eastAsia" w:ascii="宋体" w:hAnsi="宋体" w:eastAsia="方正仿宋_GBK" w:cs="方正仿宋_GBK"/>
          <w:color w:val="000000"/>
          <w:sz w:val="32"/>
          <w:szCs w:val="32"/>
        </w:rPr>
        <w:t>解决项目实施过程中存在的问题，确保项目</w:t>
      </w:r>
      <w:r>
        <w:rPr>
          <w:rFonts w:hint="eastAsia" w:eastAsia="方正仿宋_GBK" w:cs="方正仿宋_GBK"/>
          <w:color w:val="000000"/>
          <w:sz w:val="32"/>
          <w:szCs w:val="32"/>
          <w:lang w:val="en-US" w:eastAsia="zh-CN"/>
        </w:rPr>
        <w:t>在</w:t>
      </w:r>
      <w:r>
        <w:rPr>
          <w:rFonts w:hint="eastAsia" w:ascii="宋体" w:hAnsi="宋体" w:eastAsia="方正仿宋_GBK" w:cs="方正仿宋_GBK"/>
          <w:color w:val="000000"/>
          <w:sz w:val="32"/>
          <w:szCs w:val="32"/>
        </w:rPr>
        <w:t>规定时间节点</w:t>
      </w:r>
      <w:r>
        <w:rPr>
          <w:rFonts w:hint="eastAsia" w:eastAsia="方正仿宋_GBK" w:cs="方正仿宋_GBK"/>
          <w:color w:val="000000"/>
          <w:sz w:val="32"/>
          <w:szCs w:val="32"/>
          <w:lang w:val="en-US" w:eastAsia="zh-CN"/>
        </w:rPr>
        <w:t>高质高效</w:t>
      </w:r>
      <w:r>
        <w:rPr>
          <w:rFonts w:hint="eastAsia" w:ascii="宋体" w:hAnsi="宋体" w:eastAsia="方正仿宋_GBK" w:cs="方正仿宋_GBK"/>
          <w:color w:val="000000"/>
          <w:sz w:val="32"/>
          <w:szCs w:val="32"/>
        </w:rPr>
        <w:t>完成。</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（2）项目管理情况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eastAsia="方正仿宋_GBK" w:cs="方正仿宋_GBK"/>
          <w:color w:val="000000"/>
          <w:sz w:val="32"/>
          <w:szCs w:val="32"/>
          <w:lang w:val="en-US" w:eastAsia="zh-CN"/>
        </w:rPr>
      </w:pPr>
      <w:r>
        <w:rPr>
          <w:rFonts w:hint="eastAsia" w:eastAsia="方正仿宋_GBK" w:cs="方正仿宋_GBK"/>
          <w:color w:val="000000"/>
          <w:sz w:val="32"/>
          <w:szCs w:val="32"/>
          <w:lang w:val="en-US" w:eastAsia="zh-CN"/>
        </w:rPr>
        <w:t>在编制项目预算时，召集项目各相关责任人开会研究部署项具体工作安排及资金使用计划，严格遵守“无预算、不支出”原则。</w:t>
      </w:r>
      <w:r>
        <w:rPr>
          <w:rFonts w:hint="eastAsia" w:ascii="宋体" w:hAnsi="宋体" w:eastAsia="方正仿宋_GBK" w:cs="方正仿宋_GBK"/>
          <w:color w:val="000000"/>
          <w:sz w:val="32"/>
          <w:szCs w:val="32"/>
        </w:rPr>
        <w:t>并在项目实施过程中，</w:t>
      </w:r>
      <w:r>
        <w:rPr>
          <w:rFonts w:hint="eastAsia" w:ascii="宋体" w:hAnsi="宋体" w:eastAsia="方正仿宋_GBK" w:cs="方正仿宋_GBK"/>
          <w:color w:val="000000"/>
          <w:sz w:val="32"/>
          <w:szCs w:val="32"/>
          <w:lang w:val="en-US" w:eastAsia="zh-CN"/>
        </w:rPr>
        <w:t>按照项目方案积极推进各项工作，</w:t>
      </w:r>
      <w:r>
        <w:rPr>
          <w:rFonts w:hint="eastAsia" w:ascii="宋体" w:hAnsi="宋体" w:eastAsia="方正仿宋_GBK" w:cs="方正仿宋_GBK"/>
          <w:color w:val="000000"/>
          <w:sz w:val="32"/>
          <w:szCs w:val="32"/>
        </w:rPr>
        <w:t>定期与</w:t>
      </w:r>
      <w:r>
        <w:rPr>
          <w:rFonts w:hint="eastAsia" w:eastAsia="方正仿宋_GBK" w:cs="方正仿宋_GBK"/>
          <w:color w:val="000000"/>
          <w:sz w:val="32"/>
          <w:szCs w:val="32"/>
          <w:lang w:val="en-US" w:eastAsia="zh-CN"/>
        </w:rPr>
        <w:t>项目</w:t>
      </w:r>
      <w:r>
        <w:rPr>
          <w:rFonts w:hint="eastAsia" w:ascii="宋体" w:hAnsi="宋体" w:eastAsia="方正仿宋_GBK" w:cs="方正仿宋_GBK"/>
          <w:color w:val="000000"/>
          <w:sz w:val="32"/>
          <w:szCs w:val="32"/>
        </w:rPr>
        <w:t>责任人审查项目开支情况</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据实进行预算调整，</w:t>
      </w:r>
      <w:r>
        <w:rPr>
          <w:rFonts w:hint="eastAsia" w:eastAsia="方正仿宋_GBK" w:cs="方正仿宋_GBK"/>
          <w:color w:val="000000"/>
          <w:sz w:val="32"/>
          <w:szCs w:val="32"/>
          <w:lang w:val="en-US" w:eastAsia="zh-CN"/>
        </w:rPr>
        <w:t>实时跟踪监督、</w:t>
      </w:r>
      <w:r>
        <w:rPr>
          <w:rFonts w:hint="eastAsia" w:ascii="宋体" w:hAnsi="宋体" w:eastAsia="方正仿宋_GBK" w:cs="方正仿宋_GBK"/>
          <w:color w:val="000000"/>
          <w:sz w:val="32"/>
          <w:szCs w:val="32"/>
        </w:rPr>
        <w:t>调研评估</w:t>
      </w:r>
      <w:r>
        <w:rPr>
          <w:rFonts w:hint="eastAsia" w:ascii="宋体" w:hAnsi="宋体" w:eastAsia="方正仿宋_GBK" w:cs="方正仿宋_GBK"/>
          <w:color w:val="000000"/>
          <w:sz w:val="32"/>
          <w:szCs w:val="32"/>
          <w:lang w:val="en-US" w:eastAsia="zh-CN"/>
        </w:rPr>
        <w:t>项目绩效</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并</w:t>
      </w:r>
      <w:r>
        <w:rPr>
          <w:rFonts w:hint="eastAsia" w:ascii="宋体" w:hAnsi="宋体" w:eastAsia="方正仿宋_GBK" w:cs="方正仿宋_GBK"/>
          <w:color w:val="000000"/>
          <w:sz w:val="32"/>
          <w:szCs w:val="32"/>
        </w:rPr>
        <w:t>自觉</w:t>
      </w:r>
      <w:r>
        <w:rPr>
          <w:rFonts w:hint="eastAsia" w:ascii="宋体" w:hAnsi="宋体" w:eastAsia="方正仿宋_GBK" w:cs="方正仿宋_GBK"/>
          <w:color w:val="000000"/>
          <w:sz w:val="32"/>
          <w:szCs w:val="32"/>
          <w:lang w:val="en-US" w:eastAsia="zh-CN"/>
        </w:rPr>
        <w:t>主动</w:t>
      </w:r>
      <w:r>
        <w:rPr>
          <w:rFonts w:hint="eastAsia" w:ascii="宋体" w:hAnsi="宋体" w:eastAsia="方正仿宋_GBK" w:cs="方正仿宋_GBK"/>
          <w:color w:val="000000"/>
          <w:sz w:val="32"/>
          <w:szCs w:val="32"/>
        </w:rPr>
        <w:t>接受财政、审计等部门和社会</w:t>
      </w:r>
      <w:r>
        <w:rPr>
          <w:rFonts w:hint="eastAsia" w:eastAsia="方正仿宋_GBK" w:cs="方正仿宋_GBK"/>
          <w:color w:val="000000"/>
          <w:sz w:val="32"/>
          <w:szCs w:val="32"/>
          <w:lang w:val="en-US" w:eastAsia="zh-CN"/>
        </w:rPr>
        <w:t>群众</w:t>
      </w:r>
      <w:r>
        <w:rPr>
          <w:rFonts w:hint="eastAsia" w:ascii="宋体" w:hAnsi="宋体" w:eastAsia="方正仿宋_GBK" w:cs="方正仿宋_GBK"/>
          <w:color w:val="000000"/>
          <w:sz w:val="32"/>
          <w:szCs w:val="32"/>
        </w:rPr>
        <w:t>监督，保障经费</w:t>
      </w:r>
      <w:r>
        <w:rPr>
          <w:rFonts w:hint="eastAsia" w:eastAsia="方正仿宋_GBK" w:cs="方正仿宋_GBK"/>
          <w:color w:val="000000"/>
          <w:sz w:val="32"/>
          <w:szCs w:val="32"/>
          <w:lang w:val="en-US" w:eastAsia="zh-CN"/>
        </w:rPr>
        <w:t>管理使用</w:t>
      </w:r>
      <w:r>
        <w:rPr>
          <w:rFonts w:hint="eastAsia" w:ascii="宋体" w:hAnsi="宋体" w:eastAsia="方正仿宋_GBK" w:cs="方正仿宋_GBK"/>
          <w:color w:val="000000"/>
          <w:sz w:val="32"/>
          <w:szCs w:val="32"/>
        </w:rPr>
        <w:t>的公开透明、合理公正</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切实提高</w:t>
      </w:r>
      <w:r>
        <w:rPr>
          <w:rFonts w:hint="eastAsia" w:eastAsia="方正仿宋_GBK" w:cs="方正仿宋_GBK"/>
          <w:color w:val="000000"/>
          <w:sz w:val="32"/>
          <w:szCs w:val="32"/>
          <w:lang w:val="en-US" w:eastAsia="zh-CN"/>
        </w:rPr>
        <w:t>预算</w:t>
      </w:r>
      <w:r>
        <w:rPr>
          <w:rFonts w:hint="eastAsia" w:ascii="宋体" w:hAnsi="宋体" w:eastAsia="方正仿宋_GBK" w:cs="方正仿宋_GBK"/>
          <w:color w:val="000000"/>
          <w:sz w:val="32"/>
          <w:szCs w:val="32"/>
        </w:rPr>
        <w:t>资金执行率和使用效益。</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经</w:t>
      </w:r>
      <w:r>
        <w:rPr>
          <w:rFonts w:hint="eastAsia" w:eastAsia="方正仿宋_GBK" w:cs="方正仿宋_GBK"/>
          <w:color w:val="000000"/>
          <w:sz w:val="32"/>
          <w:szCs w:val="32"/>
          <w:lang w:val="en-US" w:eastAsia="zh-CN"/>
        </w:rPr>
        <w:t>自查</w:t>
      </w:r>
      <w:r>
        <w:rPr>
          <w:rFonts w:hint="eastAsia" w:ascii="宋体" w:hAnsi="宋体" w:eastAsia="方正仿宋_GBK" w:cs="方正仿宋_GBK"/>
          <w:color w:val="000000"/>
          <w:sz w:val="32"/>
          <w:szCs w:val="32"/>
        </w:rPr>
        <w:t>，项目资金使用不存在支出依据不合规、虚列项目支出的情况；不存在截留、挤占、挪用</w:t>
      </w:r>
      <w:r>
        <w:rPr>
          <w:rFonts w:hint="eastAsia" w:eastAsia="方正仿宋_GBK" w:cs="方正仿宋_GBK"/>
          <w:color w:val="000000"/>
          <w:sz w:val="32"/>
          <w:szCs w:val="32"/>
          <w:lang w:val="en-US" w:eastAsia="zh-CN"/>
        </w:rPr>
        <w:t>的</w:t>
      </w:r>
      <w:r>
        <w:rPr>
          <w:rFonts w:hint="eastAsia" w:ascii="宋体" w:hAnsi="宋体" w:eastAsia="方正仿宋_GBK" w:cs="方正仿宋_GBK"/>
          <w:color w:val="000000"/>
          <w:sz w:val="32"/>
          <w:szCs w:val="32"/>
        </w:rPr>
        <w:t>情况；不存在超标准</w:t>
      </w:r>
      <w:r>
        <w:rPr>
          <w:rFonts w:hint="eastAsia" w:eastAsia="方正仿宋_GBK" w:cs="方正仿宋_GBK"/>
          <w:color w:val="000000"/>
          <w:sz w:val="32"/>
          <w:szCs w:val="32"/>
          <w:lang w:val="en-US" w:eastAsia="zh-CN"/>
        </w:rPr>
        <w:t>超范围</w:t>
      </w:r>
      <w:r>
        <w:rPr>
          <w:rFonts w:hint="eastAsia" w:ascii="宋体" w:hAnsi="宋体" w:eastAsia="方正仿宋_GBK" w:cs="方正仿宋_GBK"/>
          <w:color w:val="000000"/>
          <w:sz w:val="32"/>
          <w:szCs w:val="32"/>
        </w:rPr>
        <w:t>开支</w:t>
      </w:r>
      <w:r>
        <w:rPr>
          <w:rFonts w:hint="eastAsia" w:eastAsia="方正仿宋_GBK" w:cs="方正仿宋_GBK"/>
          <w:color w:val="000000"/>
          <w:sz w:val="32"/>
          <w:szCs w:val="32"/>
          <w:lang w:val="en-US" w:eastAsia="zh-CN"/>
        </w:rPr>
        <w:t>的</w:t>
      </w:r>
      <w:r>
        <w:rPr>
          <w:rFonts w:hint="eastAsia" w:ascii="宋体" w:hAnsi="宋体" w:eastAsia="方正仿宋_GBK" w:cs="方正仿宋_GBK"/>
          <w:color w:val="000000"/>
          <w:sz w:val="32"/>
          <w:szCs w:val="32"/>
        </w:rPr>
        <w:t>情况。</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（二）绩效目标</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_GBK" w:cs="方正仿宋_GBK"/>
          <w:b/>
          <w:bCs w:val="0"/>
          <w:color w:val="000000"/>
          <w:kern w:val="0"/>
          <w:sz w:val="32"/>
          <w:szCs w:val="32"/>
        </w:rPr>
      </w:pPr>
      <w:r>
        <w:rPr>
          <w:rFonts w:hint="eastAsia" w:ascii="宋体" w:hAnsi="宋体" w:eastAsia="方正仿宋_GBK" w:cs="方正仿宋_GBK"/>
          <w:b/>
          <w:bCs w:val="0"/>
          <w:color w:val="000000"/>
          <w:kern w:val="0"/>
          <w:sz w:val="32"/>
          <w:szCs w:val="32"/>
        </w:rPr>
        <w:t>1.项目绩效总目标</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通过做实日常监督</w:t>
      </w:r>
      <w:r>
        <w:rPr>
          <w:rFonts w:hint="eastAsia" w:eastAsia="方正仿宋_GBK" w:cs="方正仿宋_GBK"/>
          <w:color w:val="000000"/>
          <w:sz w:val="32"/>
          <w:szCs w:val="32"/>
          <w:lang w:val="en-US" w:eastAsia="zh-CN"/>
        </w:rPr>
        <w:t>检查</w:t>
      </w:r>
      <w:r>
        <w:rPr>
          <w:rFonts w:hint="eastAsia" w:ascii="宋体" w:hAnsi="宋体" w:eastAsia="方正仿宋_GBK" w:cs="方正仿宋_GBK"/>
          <w:color w:val="000000"/>
          <w:sz w:val="32"/>
          <w:szCs w:val="32"/>
        </w:rPr>
        <w:t>和专项整治工作，加大党风廉政建设宣传引导，打造廉洁文化暨党风廉政建设示范点，持之以恒正风肃纪，坚决遏制腐败问题反弹回潮，营造良好政治生态。</w:t>
      </w:r>
    </w:p>
    <w:p>
      <w:pPr>
        <w:keepNext w:val="0"/>
        <w:keepLines w:val="0"/>
        <w:pageBreakBefore w:val="0"/>
        <w:kinsoku/>
        <w:wordWrap/>
        <w:overflowPunct/>
        <w:topLinePunct w:val="0"/>
        <w:autoSpaceDE/>
        <w:autoSpaceDN/>
        <w:bidi w:val="0"/>
        <w:adjustRightInd/>
        <w:snapToGrid/>
        <w:spacing w:line="590" w:lineRule="exact"/>
        <w:ind w:firstLine="643" w:firstLineChars="200"/>
        <w:textAlignment w:val="auto"/>
        <w:rPr>
          <w:rFonts w:hint="eastAsia" w:ascii="宋体" w:hAnsi="宋体" w:eastAsia="方正仿宋_GBK" w:cs="方正仿宋_GBK"/>
          <w:b/>
          <w:bCs w:val="0"/>
          <w:color w:val="000000"/>
          <w:kern w:val="0"/>
          <w:sz w:val="32"/>
          <w:szCs w:val="32"/>
        </w:rPr>
      </w:pPr>
      <w:r>
        <w:rPr>
          <w:rFonts w:hint="eastAsia" w:ascii="宋体" w:hAnsi="宋体" w:eastAsia="方正仿宋_GBK" w:cs="方正仿宋_GBK"/>
          <w:b/>
          <w:bCs w:val="0"/>
          <w:color w:val="000000"/>
          <w:kern w:val="0"/>
          <w:sz w:val="32"/>
          <w:szCs w:val="32"/>
        </w:rPr>
        <w:t>2.项目具体绩效目标</w:t>
      </w:r>
    </w:p>
    <w:p>
      <w:pPr>
        <w:keepNext w:val="0"/>
        <w:keepLines w:val="0"/>
        <w:pageBreakBefore w:val="0"/>
        <w:kinsoku/>
        <w:wordWrap/>
        <w:overflowPunct/>
        <w:topLinePunct w:val="0"/>
        <w:autoSpaceDE/>
        <w:autoSpaceDN/>
        <w:bidi w:val="0"/>
        <w:adjustRightInd/>
        <w:snapToGrid/>
        <w:spacing w:line="590" w:lineRule="exact"/>
        <w:ind w:firstLine="626" w:firstLineChars="200"/>
        <w:textAlignment w:val="auto"/>
        <w:rPr>
          <w:rFonts w:hint="eastAsia" w:eastAsia="方正仿宋_GBK" w:cs="方正仿宋_GBK"/>
          <w:color w:val="000000"/>
          <w:sz w:val="32"/>
          <w:szCs w:val="32"/>
          <w:lang w:val="en-US" w:eastAsia="zh-CN"/>
        </w:rPr>
      </w:pPr>
      <w:r>
        <w:rPr>
          <w:rFonts w:hint="eastAsia" w:ascii="宋体" w:hAnsi="宋体" w:eastAsia="方正仿宋_GBK" w:cs="方正仿宋_GBK"/>
          <w:color w:val="000000"/>
          <w:w w:val="98"/>
          <w:kern w:val="0"/>
          <w:sz w:val="32"/>
          <w:szCs w:val="32"/>
          <w:lang w:val="en-US" w:eastAsia="zh-CN" w:bidi="ar-SA"/>
        </w:rPr>
        <w:t>通过人力、物力、财力的投放，深入开展党风廉政建设宣传教育和专项监督检查，全年开展党风廉政建设专项整治、专项督查不少于12次，</w:t>
      </w:r>
      <w:r>
        <w:rPr>
          <w:rFonts w:hint="eastAsia" w:ascii="宋体" w:hAnsi="宋体" w:eastAsia="方正仿宋_GBK" w:cs="方正仿宋_GBK"/>
          <w:color w:val="000000"/>
          <w:w w:val="98"/>
          <w:sz w:val="32"/>
          <w:szCs w:val="32"/>
          <w:lang w:val="en-US" w:eastAsia="zh-CN"/>
        </w:rPr>
        <w:t>拍摄和制作综述片1个</w:t>
      </w:r>
      <w:r>
        <w:rPr>
          <w:rFonts w:hint="eastAsia" w:eastAsia="方正仿宋_GBK" w:cs="方正仿宋_GBK"/>
          <w:color w:val="000000"/>
          <w:w w:val="98"/>
          <w:sz w:val="32"/>
          <w:szCs w:val="32"/>
          <w:lang w:val="en-US" w:eastAsia="zh-CN"/>
        </w:rPr>
        <w:t>，创作警示教育视频短剧、微视频1部，联合制播我县党风廉政和反腐败工作成效方面的正面电视新闻12条，采写报刊新闻报道5条，制作宣传产品1个。</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二、绩效自评工作情况</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（一）自评工作组织领导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为了确保2023年度预算项目绩效自评工作的顺利开展，我单位专门成立了项目绩效评价工作领导小组，了解党风廉政建设宣传教育和专项监督检查开展情况，对实际成效进行全面评估。</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（二）自评方式、方法、重点等</w:t>
      </w:r>
    </w:p>
    <w:p>
      <w:pPr>
        <w:pStyle w:val="17"/>
        <w:spacing w:before="0" w:beforeAutospacing="0" w:after="0" w:afterAutospacing="0" w:line="590" w:lineRule="exact"/>
        <w:ind w:firstLine="626" w:firstLineChars="200"/>
        <w:jc w:val="both"/>
        <w:rPr>
          <w:rFonts w:hint="eastAsia" w:ascii="宋体" w:hAnsi="宋体"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w w:val="98"/>
          <w:sz w:val="32"/>
          <w:szCs w:val="32"/>
        </w:rPr>
        <w:t>评价小组主要采取“听、查、看”的方式进行项目绩效自评工作。听取项目实施的主要做法、亮点工作和存在的问题及改进措施等内容。查阅项目实施有关的资料，主要包括:工作计划、会议记录、自评资料、自查报告、各种工作总结等。查看项目实施的人力、物力、财力投入，实时跟进项目进度，开展指导和监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三、评价结论</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jc w:val="both"/>
        <w:textAlignment w:val="auto"/>
        <w:rPr>
          <w:rFonts w:hint="eastAsia" w:ascii="方正仿宋_GBK" w:hAnsi="方正仿宋_GBK" w:eastAsia="方正仿宋_GBK" w:cs="方正仿宋_GBK"/>
          <w:color w:val="000000"/>
          <w:sz w:val="32"/>
          <w:szCs w:val="32"/>
        </w:rPr>
      </w:pPr>
      <w:r>
        <w:rPr>
          <w:rFonts w:ascii="宋体" w:hAnsi="宋体" w:eastAsia="方正仿宋简体"/>
          <w:color w:val="000000"/>
          <w:sz w:val="32"/>
          <w:szCs w:val="32"/>
        </w:rPr>
        <w:t xml:space="preserve">    </w:t>
      </w:r>
      <w:r>
        <w:rPr>
          <w:rFonts w:hint="eastAsia" w:ascii="宋体" w:hAnsi="宋体" w:eastAsia="方正仿宋_GBK" w:cs="方正仿宋_GBK"/>
          <w:color w:val="000000"/>
          <w:kern w:val="0"/>
          <w:sz w:val="32"/>
          <w:szCs w:val="32"/>
          <w:lang w:val="en-US" w:eastAsia="zh-CN" w:bidi="ar-SA"/>
        </w:rPr>
        <w:t>该项目管理比较规范，资金到位稍有延迟但没给项目实施造成影响，整体效益</w:t>
      </w:r>
      <w:r>
        <w:rPr>
          <w:rFonts w:hint="eastAsia" w:eastAsia="方正仿宋_GBK" w:cs="方正仿宋_GBK"/>
          <w:color w:val="000000"/>
          <w:kern w:val="0"/>
          <w:sz w:val="32"/>
          <w:szCs w:val="32"/>
          <w:lang w:val="en-US" w:eastAsia="zh-CN" w:bidi="ar-SA"/>
        </w:rPr>
        <w:t>较好。</w:t>
      </w:r>
      <w:r>
        <w:rPr>
          <w:rFonts w:hint="eastAsia" w:ascii="Times New Roman" w:hAnsi="方正仿宋简体" w:eastAsia="方正仿宋简体" w:cs="方正仿宋简体"/>
          <w:sz w:val="32"/>
          <w:szCs w:val="32"/>
        </w:rPr>
        <w:t>按照</w:t>
      </w:r>
      <w:r>
        <w:rPr>
          <w:rFonts w:hint="eastAsia" w:ascii="Times New Roman" w:hAnsi="Times New Roman" w:eastAsia="方正仿宋简体"/>
          <w:sz w:val="32"/>
        </w:rPr>
        <w:t>《安岳县财政支出绩效评价管理办法》</w:t>
      </w:r>
      <w:r>
        <w:rPr>
          <w:rFonts w:hint="eastAsia" w:ascii="Times New Roman" w:hAnsi="方正仿宋简体" w:eastAsia="方正仿宋简体" w:cs="方正仿宋简体"/>
          <w:sz w:val="32"/>
          <w:szCs w:val="32"/>
        </w:rPr>
        <w:t>规定</w:t>
      </w:r>
      <w:r>
        <w:rPr>
          <w:rFonts w:hint="eastAsia" w:ascii="宋体" w:hAnsi="宋体" w:eastAsia="方正仿宋_GBK" w:cs="方正仿宋_GBK"/>
          <w:color w:val="000000"/>
          <w:kern w:val="0"/>
          <w:sz w:val="32"/>
          <w:szCs w:val="32"/>
          <w:lang w:val="en-US" w:eastAsia="zh-CN" w:bidi="ar-SA"/>
        </w:rPr>
        <w:t>，</w:t>
      </w:r>
      <w:r>
        <w:rPr>
          <w:rFonts w:hint="eastAsia" w:ascii="Times New Roman" w:hAnsi="方正仿宋简体" w:eastAsia="方正仿宋简体" w:cs="方正仿宋简体"/>
          <w:sz w:val="32"/>
          <w:szCs w:val="32"/>
        </w:rPr>
        <w:t>本着客观、真实、准确的原则开展</w:t>
      </w:r>
      <w:r>
        <w:rPr>
          <w:rFonts w:hint="eastAsia" w:ascii="Times New Roman" w:hAnsi="方正仿宋简体" w:eastAsia="方正仿宋简体" w:cs="方正仿宋简体"/>
          <w:sz w:val="32"/>
          <w:szCs w:val="32"/>
          <w:lang w:val="en-US" w:eastAsia="zh-CN"/>
        </w:rPr>
        <w:t>项目支</w:t>
      </w:r>
      <w:r>
        <w:rPr>
          <w:rFonts w:hint="eastAsia" w:ascii="Times New Roman" w:hAnsi="方正仿宋简体" w:eastAsia="方正仿宋简体" w:cs="方正仿宋简体"/>
          <w:sz w:val="32"/>
          <w:szCs w:val="32"/>
        </w:rPr>
        <w:t>出绩效自评，</w:t>
      </w:r>
      <w:r>
        <w:rPr>
          <w:rFonts w:hint="eastAsia" w:ascii="宋体" w:hAnsi="宋体" w:eastAsia="方正仿宋_GBK" w:cs="方正仿宋_GBK"/>
          <w:color w:val="000000"/>
          <w:kern w:val="0"/>
          <w:sz w:val="32"/>
          <w:szCs w:val="32"/>
          <w:lang w:val="en-US" w:eastAsia="zh-CN" w:bidi="ar-SA"/>
        </w:rPr>
        <w:t>经过综合评价</w:t>
      </w:r>
      <w:r>
        <w:rPr>
          <w:rFonts w:hint="eastAsia" w:eastAsia="方正仿宋_GBK" w:cs="方正仿宋_GBK"/>
          <w:color w:val="000000"/>
          <w:kern w:val="0"/>
          <w:sz w:val="32"/>
          <w:szCs w:val="32"/>
          <w:lang w:val="en-US" w:eastAsia="zh-CN" w:bidi="ar-SA"/>
        </w:rPr>
        <w:t>，</w:t>
      </w:r>
      <w:r>
        <w:rPr>
          <w:rFonts w:hint="eastAsia" w:ascii="宋体" w:hAnsi="宋体" w:eastAsia="方正仿宋_GBK" w:cs="方正仿宋_GBK"/>
          <w:color w:val="000000"/>
          <w:kern w:val="0"/>
          <w:sz w:val="32"/>
          <w:szCs w:val="32"/>
          <w:lang w:val="en-US" w:eastAsia="zh-CN" w:bidi="ar-SA"/>
        </w:rPr>
        <w:t>得分为100分，财政支出绩效为“优”。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黑体_GBK" w:cs="方正黑体_GBK"/>
          <w:color w:val="000000"/>
          <w:kern w:val="0"/>
          <w:sz w:val="32"/>
          <w:szCs w:val="32"/>
        </w:rPr>
      </w:pPr>
      <w:r>
        <w:rPr>
          <w:rFonts w:hint="eastAsia" w:ascii="宋体" w:hAnsi="宋体" w:eastAsia="方正黑体_GBK" w:cs="方正黑体_GBK"/>
          <w:color w:val="000000"/>
          <w:kern w:val="0"/>
          <w:sz w:val="32"/>
          <w:szCs w:val="32"/>
        </w:rPr>
        <w:t>四、绩效分析</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（一）项目经济分析</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1.项目成本控制情况。</w:t>
      </w:r>
      <w:r>
        <w:rPr>
          <w:rFonts w:hint="eastAsia" w:ascii="宋体" w:hAnsi="宋体" w:eastAsia="方正仿宋简体"/>
          <w:color w:val="000000"/>
          <w:sz w:val="32"/>
          <w:szCs w:val="32"/>
        </w:rPr>
        <w:t>使</w:t>
      </w:r>
      <w:r>
        <w:rPr>
          <w:rFonts w:hint="eastAsia" w:ascii="宋体" w:hAnsi="宋体" w:eastAsia="方正仿宋_GBK" w:cs="方正仿宋_GBK"/>
          <w:color w:val="000000"/>
          <w:kern w:val="0"/>
          <w:sz w:val="32"/>
          <w:szCs w:val="32"/>
          <w:lang w:val="en-US" w:eastAsia="zh-CN" w:bidi="ar-SA"/>
        </w:rPr>
        <w:t>用合理，无超支。</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2.项目成本节约情况。</w:t>
      </w:r>
      <w:r>
        <w:rPr>
          <w:rFonts w:hint="eastAsia" w:ascii="方正仿宋_GBK" w:hAnsi="方正仿宋_GBK" w:eastAsia="方正仿宋_GBK" w:cs="方正仿宋_GBK"/>
          <w:bCs/>
          <w:color w:val="000000"/>
          <w:sz w:val="32"/>
          <w:szCs w:val="32"/>
        </w:rPr>
        <w:t>规范流程、严格审批</w:t>
      </w:r>
      <w:r>
        <w:rPr>
          <w:rFonts w:hint="eastAsia" w:ascii="方正仿宋_GBK" w:hAnsi="方正仿宋_GBK" w:eastAsia="方正仿宋_GBK" w:cs="方正仿宋_GBK"/>
          <w:color w:val="000000"/>
          <w:sz w:val="32"/>
          <w:szCs w:val="32"/>
        </w:rPr>
        <w:t>，建立项目资金收支流水账，可以及时观察到计划支出与实际支出的偏差，便于合理调剂和成本控制。</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（二）项目的效率性分析</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16"/>
        <w:jc w:val="both"/>
        <w:textAlignment w:val="auto"/>
        <w:rPr>
          <w:rFonts w:hint="eastAsia"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1.项目的实施进度。</w:t>
      </w:r>
      <w:r>
        <w:rPr>
          <w:rFonts w:hint="eastAsia" w:ascii="宋体" w:hAnsi="宋体" w:eastAsia="方正仿宋_GBK" w:cs="方正仿宋_GBK"/>
          <w:color w:val="000000"/>
          <w:kern w:val="0"/>
          <w:sz w:val="32"/>
          <w:szCs w:val="32"/>
          <w:lang w:val="en-US" w:eastAsia="zh-CN" w:bidi="ar-SA"/>
        </w:rPr>
        <w:t>以财政预算为基础，根据项目进度及工作需要申请拨付资金</w:t>
      </w:r>
      <w:r>
        <w:rPr>
          <w:rFonts w:hint="eastAsia" w:eastAsia="方正仿宋_GBK" w:cs="方正仿宋_GBK"/>
          <w:color w:val="000000"/>
          <w:kern w:val="0"/>
          <w:sz w:val="32"/>
          <w:szCs w:val="32"/>
          <w:lang w:val="en-US" w:eastAsia="zh-CN" w:bidi="ar-SA"/>
        </w:rPr>
        <w:t>。</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16"/>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2.项目完成质量。</w:t>
      </w:r>
      <w:r>
        <w:rPr>
          <w:rFonts w:hint="eastAsia" w:ascii="宋体" w:hAnsi="宋体" w:eastAsia="方正仿宋_GBK" w:cs="方正仿宋_GBK"/>
          <w:color w:val="000000"/>
          <w:kern w:val="0"/>
          <w:sz w:val="32"/>
          <w:szCs w:val="32"/>
          <w:lang w:val="en-US" w:eastAsia="zh-CN" w:bidi="ar-SA"/>
        </w:rPr>
        <w:t>超额完成年初制订的项目指标，特别是党风廉政建设宣传教育工作经验做法被省纪委网站、四川电视台新闻频道、廉洁四川网站、廉政瞭望等省级以上网络平台采用推广，取得较好的社会</w:t>
      </w:r>
      <w:r>
        <w:rPr>
          <w:rFonts w:hint="eastAsia" w:eastAsia="方正仿宋_GBK" w:cs="方正仿宋_GBK"/>
          <w:color w:val="000000"/>
          <w:kern w:val="0"/>
          <w:sz w:val="32"/>
          <w:szCs w:val="32"/>
          <w:lang w:val="en-US" w:eastAsia="zh-CN" w:bidi="ar-SA"/>
        </w:rPr>
        <w:t>效益</w:t>
      </w:r>
      <w:r>
        <w:rPr>
          <w:rFonts w:hint="eastAsia" w:ascii="宋体" w:hAnsi="宋体" w:eastAsia="方正仿宋_GBK" w:cs="方正仿宋_GBK"/>
          <w:color w:val="000000"/>
          <w:kern w:val="0"/>
          <w:sz w:val="32"/>
          <w:szCs w:val="32"/>
          <w:lang w:val="en-US" w:eastAsia="zh-CN" w:bidi="ar-SA"/>
        </w:rPr>
        <w:t>。</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（三）项目的效益性分析</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30" w:firstLineChars="196"/>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1.项目预期目标完成。</w:t>
      </w:r>
      <w:r>
        <w:rPr>
          <w:rFonts w:hint="eastAsia" w:ascii="宋体" w:hAnsi="宋体" w:eastAsia="方正仿宋_GBK" w:cs="方正仿宋_GBK"/>
          <w:color w:val="000000"/>
          <w:kern w:val="0"/>
          <w:sz w:val="32"/>
          <w:szCs w:val="32"/>
          <w:lang w:val="en-US" w:eastAsia="zh-CN" w:bidi="ar-SA"/>
        </w:rPr>
        <w:t>达到了预期目标。</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16"/>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b/>
          <w:bCs w:val="0"/>
          <w:color w:val="000000"/>
          <w:kern w:val="0"/>
          <w:sz w:val="32"/>
          <w:szCs w:val="32"/>
          <w:lang w:val="en-US" w:eastAsia="zh-CN" w:bidi="ar-SA"/>
        </w:rPr>
        <w:t>2.项目实施对经济和社会的影响。</w:t>
      </w:r>
      <w:r>
        <w:rPr>
          <w:rFonts w:hint="eastAsia" w:ascii="宋体" w:hAnsi="宋体" w:eastAsia="方正仿宋_GBK" w:cs="方正仿宋_GBK"/>
          <w:color w:val="000000"/>
          <w:kern w:val="0"/>
          <w:sz w:val="32"/>
          <w:szCs w:val="32"/>
          <w:lang w:val="en-US" w:eastAsia="zh-CN" w:bidi="ar-SA"/>
        </w:rPr>
        <w:t>持续整治“四风”，党风廉政建设和反腐败各项工作取得了新进展、新成效，为我县经济社会</w:t>
      </w:r>
      <w:r>
        <w:rPr>
          <w:rFonts w:hint="eastAsia" w:eastAsia="方正仿宋_GBK" w:cs="方正仿宋_GBK"/>
          <w:color w:val="000000"/>
          <w:kern w:val="0"/>
          <w:sz w:val="32"/>
          <w:szCs w:val="32"/>
          <w:lang w:val="en-US" w:eastAsia="zh-CN" w:bidi="ar-SA"/>
        </w:rPr>
        <w:t>高质量</w:t>
      </w:r>
      <w:r>
        <w:rPr>
          <w:rFonts w:hint="eastAsia" w:ascii="宋体" w:hAnsi="宋体" w:eastAsia="方正仿宋_GBK" w:cs="方正仿宋_GBK"/>
          <w:color w:val="000000"/>
          <w:kern w:val="0"/>
          <w:sz w:val="32"/>
          <w:szCs w:val="32"/>
          <w:lang w:val="en-US" w:eastAsia="zh-CN" w:bidi="ar-SA"/>
        </w:rPr>
        <w:t>发展提供强有力的保障。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color w:val="000000"/>
          <w:kern w:val="0"/>
          <w:sz w:val="32"/>
          <w:szCs w:val="32"/>
        </w:rPr>
      </w:pPr>
      <w:r>
        <w:rPr>
          <w:rFonts w:hint="eastAsia" w:ascii="方正黑体_GBK" w:hAnsi="方正黑体_GBK" w:eastAsia="方正黑体_GBK" w:cs="方正黑体_GBK"/>
          <w:color w:val="000000"/>
          <w:kern w:val="0"/>
          <w:sz w:val="32"/>
          <w:szCs w:val="32"/>
        </w:rPr>
        <w:t>五、主要经验及做法、存在的问题和建议</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90" w:lineRule="exact"/>
        <w:ind w:firstLine="614" w:firstLineChars="200"/>
        <w:textAlignment w:val="auto"/>
        <w:rPr>
          <w:rFonts w:hint="default"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w w:val="96"/>
          <w:kern w:val="0"/>
          <w:sz w:val="32"/>
          <w:szCs w:val="32"/>
          <w:lang w:val="en-US" w:eastAsia="zh-CN" w:bidi="ar-SA"/>
        </w:rPr>
        <w:t>党风廉政建设宣传教育及专项监督检查经费列入年度预算，确保了党风廉政建设工作正常开展，按照绩效管理工作制度，事前由纪委宣传部与党风政风监督室做好调研，精准测算，共同提出经费申请，并提供相应的初始指标及分值，由办公室统一指导修改和完善项目绩效目标设定、绩效指标结构、绩效指标内容、绩效指标权重，确保各项目绩效指标量化合理、科学可考核，事中做好绩效运行跟踪，实时监控项目实施情况及专项经费的使用情况。</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（二）存在的问题</w:t>
      </w:r>
    </w:p>
    <w:p>
      <w:pPr>
        <w:pStyle w:val="6"/>
        <w:keepNext w:val="0"/>
        <w:keepLines w:val="0"/>
        <w:pageBreakBefore w:val="0"/>
        <w:kinsoku/>
        <w:wordWrap/>
        <w:overflowPunct/>
        <w:topLinePunct w:val="0"/>
        <w:autoSpaceDE/>
        <w:autoSpaceDN/>
        <w:bidi w:val="0"/>
        <w:adjustRightInd/>
        <w:snapToGrid/>
        <w:spacing w:after="0" w:line="590" w:lineRule="exact"/>
        <w:ind w:firstLine="627" w:firstLineChars="196"/>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项目绩效指标设置不规范，指标值设置不够精准，导致项目绩效目标申报质量不高。</w:t>
      </w:r>
    </w:p>
    <w:p>
      <w:pPr>
        <w:pStyle w:val="6"/>
        <w:keepNext w:val="0"/>
        <w:keepLines w:val="0"/>
        <w:pageBreakBefore w:val="0"/>
        <w:kinsoku/>
        <w:wordWrap/>
        <w:overflowPunct/>
        <w:topLinePunct w:val="0"/>
        <w:autoSpaceDE/>
        <w:autoSpaceDN/>
        <w:bidi w:val="0"/>
        <w:adjustRightInd/>
        <w:snapToGrid/>
        <w:spacing w:after="0" w:line="590" w:lineRule="exact"/>
        <w:ind w:firstLine="630" w:firstLineChars="196"/>
        <w:textAlignment w:val="auto"/>
        <w:rPr>
          <w:rFonts w:hint="eastAsia" w:ascii="宋体" w:hAnsi="宋体" w:eastAsia="方正楷体_GBK" w:cs="方正楷体_GBK"/>
          <w:b/>
          <w:bCs w:val="0"/>
          <w:color w:val="000000"/>
          <w:kern w:val="0"/>
          <w:sz w:val="32"/>
          <w:szCs w:val="32"/>
        </w:rPr>
      </w:pPr>
      <w:r>
        <w:rPr>
          <w:rFonts w:hint="eastAsia" w:ascii="宋体" w:hAnsi="宋体" w:eastAsia="方正楷体_GBK" w:cs="方正楷体_GBK"/>
          <w:b/>
          <w:bCs w:val="0"/>
          <w:color w:val="000000"/>
          <w:kern w:val="0"/>
          <w:sz w:val="32"/>
          <w:szCs w:val="32"/>
        </w:rPr>
        <w:t>（三）建议和改进措施</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一是</w:t>
      </w:r>
      <w:r>
        <w:rPr>
          <w:rFonts w:hint="eastAsia" w:eastAsia="方正仿宋_GBK" w:cs="方正仿宋_GBK"/>
          <w:color w:val="000000"/>
          <w:kern w:val="0"/>
          <w:sz w:val="32"/>
          <w:szCs w:val="32"/>
          <w:lang w:val="en-US" w:eastAsia="zh-CN" w:bidi="ar-SA"/>
        </w:rPr>
        <w:t>做好</w:t>
      </w:r>
      <w:r>
        <w:rPr>
          <w:rFonts w:hint="eastAsia" w:ascii="宋体" w:hAnsi="宋体" w:eastAsia="方正仿宋_GBK" w:cs="方正仿宋_GBK"/>
          <w:color w:val="000000"/>
          <w:kern w:val="0"/>
          <w:sz w:val="32"/>
          <w:szCs w:val="32"/>
          <w:lang w:val="en-US" w:eastAsia="zh-CN" w:bidi="ar-SA"/>
        </w:rPr>
        <w:t>项目</w:t>
      </w:r>
      <w:r>
        <w:rPr>
          <w:rFonts w:hint="eastAsia" w:eastAsia="方正仿宋_GBK" w:cs="方正仿宋_GBK"/>
          <w:color w:val="000000"/>
          <w:kern w:val="0"/>
          <w:sz w:val="32"/>
          <w:szCs w:val="32"/>
          <w:lang w:val="en-US" w:eastAsia="zh-CN" w:bidi="ar-SA"/>
        </w:rPr>
        <w:t>申报</w:t>
      </w:r>
      <w:r>
        <w:rPr>
          <w:rFonts w:hint="eastAsia" w:ascii="宋体" w:hAnsi="宋体" w:eastAsia="方正仿宋_GBK" w:cs="方正仿宋_GBK"/>
          <w:color w:val="000000"/>
          <w:kern w:val="0"/>
          <w:sz w:val="32"/>
          <w:szCs w:val="32"/>
          <w:lang w:val="en-US" w:eastAsia="zh-CN" w:bidi="ar-SA"/>
        </w:rPr>
        <w:t>，确保项目绩效</w:t>
      </w:r>
      <w:r>
        <w:rPr>
          <w:rFonts w:hint="eastAsia" w:eastAsia="方正仿宋_GBK" w:cs="方正仿宋_GBK"/>
          <w:color w:val="000000"/>
          <w:kern w:val="0"/>
          <w:sz w:val="32"/>
          <w:szCs w:val="32"/>
          <w:lang w:val="en-US" w:eastAsia="zh-CN" w:bidi="ar-SA"/>
        </w:rPr>
        <w:t>目标设置</w:t>
      </w:r>
      <w:r>
        <w:rPr>
          <w:rFonts w:hint="eastAsia" w:ascii="宋体" w:hAnsi="宋体" w:eastAsia="方正仿宋_GBK" w:cs="方正仿宋_GBK"/>
          <w:color w:val="000000"/>
          <w:kern w:val="0"/>
          <w:sz w:val="32"/>
          <w:szCs w:val="32"/>
          <w:lang w:val="en-US" w:eastAsia="zh-CN" w:bidi="ar-SA"/>
        </w:rPr>
        <w:t>精准；二是加</w:t>
      </w:r>
      <w:r>
        <w:rPr>
          <w:rFonts w:hint="eastAsia" w:eastAsia="方正仿宋_GBK" w:cs="方正仿宋_GBK"/>
          <w:color w:val="000000"/>
          <w:kern w:val="0"/>
          <w:sz w:val="32"/>
          <w:szCs w:val="32"/>
          <w:lang w:val="en-US" w:eastAsia="zh-CN" w:bidi="ar-SA"/>
        </w:rPr>
        <w:t>强</w:t>
      </w:r>
      <w:r>
        <w:rPr>
          <w:rFonts w:hint="eastAsia" w:ascii="宋体" w:hAnsi="宋体" w:eastAsia="方正仿宋_GBK" w:cs="方正仿宋_GBK"/>
          <w:color w:val="000000"/>
          <w:kern w:val="0"/>
          <w:sz w:val="32"/>
          <w:szCs w:val="32"/>
          <w:lang w:val="en-US" w:eastAsia="zh-CN" w:bidi="ar-SA"/>
        </w:rPr>
        <w:t>项目管理</w:t>
      </w:r>
      <w:r>
        <w:rPr>
          <w:rFonts w:hint="eastAsia" w:eastAsia="方正仿宋_GBK" w:cs="方正仿宋_GBK"/>
          <w:color w:val="000000"/>
          <w:kern w:val="0"/>
          <w:sz w:val="32"/>
          <w:szCs w:val="32"/>
          <w:lang w:val="en-US" w:eastAsia="zh-CN" w:bidi="ar-SA"/>
        </w:rPr>
        <w:t>调度</w:t>
      </w:r>
      <w:r>
        <w:rPr>
          <w:rFonts w:hint="eastAsia" w:ascii="宋体" w:hAnsi="宋体" w:eastAsia="方正仿宋_GBK" w:cs="方正仿宋_GBK"/>
          <w:color w:val="000000"/>
          <w:kern w:val="0"/>
          <w:sz w:val="32"/>
          <w:szCs w:val="32"/>
          <w:lang w:val="en-US" w:eastAsia="zh-CN" w:bidi="ar-SA"/>
        </w:rPr>
        <w:t>，确保项目</w:t>
      </w:r>
      <w:r>
        <w:rPr>
          <w:rFonts w:hint="eastAsia" w:eastAsia="方正仿宋_GBK" w:cs="方正仿宋_GBK"/>
          <w:color w:val="000000"/>
          <w:kern w:val="0"/>
          <w:sz w:val="32"/>
          <w:szCs w:val="32"/>
          <w:lang w:val="en-US" w:eastAsia="zh-CN" w:bidi="ar-SA"/>
        </w:rPr>
        <w:t>按时</w:t>
      </w:r>
      <w:r>
        <w:rPr>
          <w:rFonts w:hint="eastAsia" w:ascii="宋体" w:hAnsi="宋体" w:eastAsia="方正仿宋_GBK" w:cs="方正仿宋_GBK"/>
          <w:color w:val="000000"/>
          <w:kern w:val="0"/>
          <w:sz w:val="32"/>
          <w:szCs w:val="32"/>
          <w:lang w:val="en-US" w:eastAsia="zh-CN" w:bidi="ar-SA"/>
        </w:rPr>
        <w:t>顺利实施；三是定期进行绩效</w:t>
      </w:r>
      <w:r>
        <w:rPr>
          <w:rFonts w:hint="eastAsia" w:eastAsia="方正仿宋_GBK" w:cs="方正仿宋_GBK"/>
          <w:color w:val="000000"/>
          <w:kern w:val="0"/>
          <w:sz w:val="32"/>
          <w:szCs w:val="32"/>
          <w:lang w:val="en-US" w:eastAsia="zh-CN" w:bidi="ar-SA"/>
        </w:rPr>
        <w:t>评估</w:t>
      </w:r>
      <w:r>
        <w:rPr>
          <w:rFonts w:hint="eastAsia" w:ascii="宋体" w:hAnsi="宋体" w:eastAsia="方正仿宋_GBK" w:cs="方正仿宋_GBK"/>
          <w:color w:val="000000"/>
          <w:kern w:val="0"/>
          <w:sz w:val="32"/>
          <w:szCs w:val="32"/>
          <w:lang w:val="en-US" w:eastAsia="zh-CN" w:bidi="ar-SA"/>
        </w:rPr>
        <w:t>，</w:t>
      </w:r>
      <w:r>
        <w:rPr>
          <w:rFonts w:hint="eastAsia" w:eastAsia="方正仿宋_GBK" w:cs="方正仿宋_GBK"/>
          <w:color w:val="000000"/>
          <w:kern w:val="0"/>
          <w:sz w:val="32"/>
          <w:szCs w:val="32"/>
          <w:lang w:val="en-US" w:eastAsia="zh-CN" w:bidi="ar-SA"/>
        </w:rPr>
        <w:t>高质高效实现</w:t>
      </w:r>
      <w:r>
        <w:rPr>
          <w:rFonts w:hint="eastAsia" w:ascii="宋体" w:hAnsi="宋体" w:eastAsia="方正仿宋_GBK" w:cs="方正仿宋_GBK"/>
          <w:color w:val="000000"/>
          <w:kern w:val="0"/>
          <w:sz w:val="32"/>
          <w:szCs w:val="32"/>
          <w:lang w:val="en-US" w:eastAsia="zh-CN" w:bidi="ar-SA"/>
        </w:rPr>
        <w:t>项目绩效目标。</w:t>
      </w:r>
    </w:p>
    <w:p>
      <w:pPr>
        <w:pStyle w:val="6"/>
        <w:keepNext w:val="0"/>
        <w:keepLines w:val="0"/>
        <w:pageBreakBefore w:val="0"/>
        <w:kinsoku/>
        <w:wordWrap/>
        <w:overflowPunct/>
        <w:topLinePunct w:val="0"/>
        <w:autoSpaceDE/>
        <w:autoSpaceDN/>
        <w:bidi w:val="0"/>
        <w:adjustRightInd/>
        <w:snapToGrid/>
        <w:spacing w:after="0" w:line="590" w:lineRule="exact"/>
        <w:textAlignment w:val="auto"/>
        <w:rPr>
          <w:rFonts w:ascii="宋体" w:hAnsi="宋体" w:eastAsia="方正仿宋简体"/>
          <w:b/>
          <w:sz w:val="32"/>
          <w:szCs w:val="32"/>
        </w:rPr>
      </w:pPr>
    </w:p>
    <w:p>
      <w:pPr>
        <w:pStyle w:val="6"/>
        <w:spacing w:after="0" w:line="580" w:lineRule="exact"/>
        <w:ind w:firstLine="627" w:firstLineChars="196"/>
        <w:rPr>
          <w:rFonts w:ascii="Times New Roman" w:hAnsi="Times New Roman" w:eastAsia="方正仿宋简体"/>
          <w:color w:val="000000"/>
          <w:kern w:val="0"/>
          <w:sz w:val="32"/>
          <w:szCs w:val="32"/>
        </w:rPr>
      </w:pPr>
      <w:r>
        <w:rPr>
          <w:rFonts w:hint="eastAsia" w:ascii="宋体" w:hAnsi="宋体" w:eastAsia="方正仿宋_GBK" w:cs="方正仿宋_GBK"/>
          <w:color w:val="000000"/>
          <w:kern w:val="0"/>
          <w:sz w:val="32"/>
          <w:szCs w:val="32"/>
          <w:lang w:val="en-US" w:eastAsia="zh-CN" w:bidi="ar-SA"/>
        </w:rPr>
        <w:t>附件：3-1 2023年度安岳县项目支出绩效自评计分表</w:t>
      </w:r>
    </w:p>
    <w:p>
      <w:pPr>
        <w:pStyle w:val="6"/>
        <w:spacing w:line="620" w:lineRule="exact"/>
        <w:ind w:left="2237" w:leftChars="608" w:hanging="960" w:hangingChars="300"/>
        <w:rPr>
          <w:rFonts w:hint="eastAsia" w:ascii="Times New Roman" w:hAnsi="Times New Roman" w:eastAsia="方正仿宋简体"/>
          <w:spacing w:val="-20"/>
          <w:sz w:val="32"/>
          <w:szCs w:val="32"/>
        </w:rPr>
      </w:pPr>
      <w:r>
        <w:rPr>
          <w:rFonts w:hint="eastAsia" w:ascii="Times New Roman" w:hAnsi="Times New Roman" w:eastAsia="方正仿宋简体"/>
          <w:sz w:val="32"/>
          <w:szCs w:val="32"/>
        </w:rPr>
        <w:t xml:space="preserve"> </w:t>
      </w:r>
      <w:r>
        <w:rPr>
          <w:rFonts w:hint="eastAsia" w:ascii="宋体" w:hAnsi="宋体" w:eastAsia="方正仿宋_GBK" w:cs="方正仿宋_GBK"/>
          <w:color w:val="000000"/>
          <w:kern w:val="0"/>
          <w:sz w:val="32"/>
          <w:szCs w:val="32"/>
          <w:lang w:val="en-US" w:eastAsia="zh-CN" w:bidi="ar-SA"/>
        </w:rPr>
        <w:t xml:space="preserve"> 3-2 </w:t>
      </w:r>
      <w:r>
        <w:rPr>
          <w:rFonts w:hint="eastAsia" w:ascii="宋体" w:hAnsi="宋体" w:eastAsia="方正仿宋_GBK" w:cs="方正仿宋_GBK"/>
          <w:color w:val="000000"/>
          <w:spacing w:val="-20"/>
          <w:kern w:val="0"/>
          <w:sz w:val="32"/>
          <w:szCs w:val="32"/>
          <w:lang w:val="en-US" w:eastAsia="zh-CN" w:bidi="ar-SA"/>
        </w:rPr>
        <w:t>2023年度安</w:t>
      </w:r>
      <w:r>
        <w:rPr>
          <w:rFonts w:hint="eastAsia" w:ascii="Times New Roman" w:hAnsi="Times New Roman" w:eastAsia="方正仿宋简体"/>
          <w:spacing w:val="-20"/>
          <w:sz w:val="32"/>
          <w:szCs w:val="32"/>
        </w:rPr>
        <w:t>岳县</w:t>
      </w:r>
      <w:r>
        <w:rPr>
          <w:rFonts w:ascii="Times New Roman" w:hAnsi="Times New Roman" w:eastAsia="方正仿宋简体"/>
          <w:spacing w:val="-20"/>
          <w:sz w:val="32"/>
          <w:szCs w:val="32"/>
        </w:rPr>
        <w:t>项目支出绩效目标完成情况表</w:t>
      </w:r>
    </w:p>
    <w:p>
      <w:pPr>
        <w:pStyle w:val="6"/>
        <w:keepNext w:val="0"/>
        <w:keepLines w:val="0"/>
        <w:pageBreakBefore w:val="0"/>
        <w:kinsoku/>
        <w:wordWrap/>
        <w:overflowPunct/>
        <w:topLinePunct w:val="0"/>
        <w:autoSpaceDE/>
        <w:autoSpaceDN/>
        <w:bidi w:val="0"/>
        <w:adjustRightInd/>
        <w:snapToGrid/>
        <w:spacing w:after="0" w:line="590" w:lineRule="exact"/>
        <w:ind w:firstLine="627" w:firstLineChars="196"/>
        <w:textAlignment w:val="auto"/>
        <w:rPr>
          <w:rFonts w:hint="eastAsia" w:ascii="宋体" w:hAnsi="宋体" w:eastAsia="方正仿宋简体"/>
          <w:color w:val="000000"/>
          <w:kern w:val="0"/>
          <w:sz w:val="32"/>
          <w:szCs w:val="32"/>
        </w:rPr>
      </w:pPr>
    </w:p>
    <w:p>
      <w:pPr>
        <w:pStyle w:val="6"/>
        <w:keepNext w:val="0"/>
        <w:keepLines w:val="0"/>
        <w:pageBreakBefore w:val="0"/>
        <w:kinsoku/>
        <w:wordWrap/>
        <w:overflowPunct/>
        <w:topLinePunct w:val="0"/>
        <w:autoSpaceDE/>
        <w:autoSpaceDN/>
        <w:bidi w:val="0"/>
        <w:adjustRightInd/>
        <w:snapToGrid/>
        <w:spacing w:after="0" w:line="590" w:lineRule="exact"/>
        <w:ind w:firstLine="6080" w:firstLineChars="1900"/>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仿宋_GBK" w:cs="方正仿宋_GBK"/>
          <w:color w:val="000000"/>
          <w:kern w:val="0"/>
          <w:sz w:val="32"/>
          <w:szCs w:val="32"/>
          <w:lang w:val="en-US" w:eastAsia="zh-CN" w:bidi="ar-SA"/>
        </w:rPr>
        <w:t xml:space="preserve">                                </w:t>
      </w:r>
    </w:p>
    <w:p>
      <w:pPr>
        <w:spacing w:line="560" w:lineRule="exact"/>
        <w:jc w:val="left"/>
        <w:rPr>
          <w:rFonts w:ascii="宋体" w:hAnsi="宋体" w:eastAsia="方正黑体简体"/>
          <w:sz w:val="32"/>
          <w:szCs w:val="32"/>
        </w:rPr>
      </w:pPr>
    </w:p>
    <w:p>
      <w:pPr>
        <w:spacing w:line="620" w:lineRule="exact"/>
        <w:jc w:val="left"/>
        <w:rPr>
          <w:rFonts w:ascii="宋体" w:hAnsi="宋体" w:eastAsia="方正黑体简体"/>
          <w:sz w:val="32"/>
          <w:szCs w:val="32"/>
        </w:rPr>
      </w:pPr>
    </w:p>
    <w:p>
      <w:pPr>
        <w:spacing w:line="620" w:lineRule="exact"/>
        <w:jc w:val="left"/>
        <w:rPr>
          <w:rFonts w:ascii="宋体" w:hAnsi="宋体" w:eastAsia="方正黑体简体"/>
          <w:sz w:val="32"/>
          <w:szCs w:val="32"/>
        </w:rPr>
      </w:pPr>
    </w:p>
    <w:p>
      <w:pPr>
        <w:spacing w:line="620" w:lineRule="exact"/>
        <w:jc w:val="left"/>
        <w:rPr>
          <w:rFonts w:ascii="宋体" w:hAnsi="宋体" w:eastAsia="方正黑体简体"/>
          <w:sz w:val="32"/>
          <w:szCs w:val="32"/>
        </w:rPr>
      </w:pPr>
    </w:p>
    <w:p>
      <w:pPr>
        <w:spacing w:line="620" w:lineRule="exact"/>
        <w:jc w:val="left"/>
        <w:rPr>
          <w:rFonts w:ascii="宋体" w:hAnsi="宋体" w:eastAsia="方正黑体简体"/>
          <w:sz w:val="32"/>
          <w:szCs w:val="32"/>
        </w:rPr>
      </w:pPr>
    </w:p>
    <w:p>
      <w:pPr>
        <w:pStyle w:val="9"/>
        <w:rPr>
          <w:rFonts w:ascii="宋体" w:hAnsi="宋体" w:eastAsia="方正黑体简体"/>
          <w:sz w:val="32"/>
          <w:szCs w:val="32"/>
        </w:rPr>
      </w:pPr>
    </w:p>
    <w:p>
      <w:pPr>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br w:type="page"/>
      </w:r>
    </w:p>
    <w:p>
      <w:pPr>
        <w:spacing w:line="620" w:lineRule="exact"/>
        <w:jc w:val="left"/>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附件3-1</w:t>
      </w:r>
    </w:p>
    <w:p>
      <w:pPr>
        <w:spacing w:line="620" w:lineRule="exact"/>
        <w:jc w:val="center"/>
        <w:rPr>
          <w:rFonts w:hint="eastAsia" w:ascii="宋体" w:hAnsi="宋体" w:eastAsia="方正小标宋简体"/>
          <w:bCs/>
          <w:kern w:val="0"/>
          <w:sz w:val="44"/>
          <w:szCs w:val="44"/>
        </w:rPr>
      </w:pPr>
      <w:r>
        <w:rPr>
          <w:rFonts w:hint="eastAsia" w:ascii="宋体" w:hAnsi="宋体" w:cs="宋体"/>
          <w:bCs/>
          <w:kern w:val="0"/>
          <w:sz w:val="40"/>
          <w:szCs w:val="40"/>
        </w:rPr>
        <w:t>202</w:t>
      </w:r>
      <w:r>
        <w:rPr>
          <w:rFonts w:hint="eastAsia" w:ascii="宋体" w:hAnsi="宋体" w:cs="宋体"/>
          <w:bCs/>
          <w:kern w:val="0"/>
          <w:sz w:val="40"/>
          <w:szCs w:val="40"/>
          <w:lang w:val="en-US" w:eastAsia="zh-CN"/>
        </w:rPr>
        <w:t>3</w:t>
      </w:r>
      <w:r>
        <w:rPr>
          <w:rFonts w:hint="eastAsia" w:ascii="宋体" w:hAnsi="宋体" w:eastAsia="方正小标宋简体"/>
          <w:bCs/>
          <w:kern w:val="0"/>
          <w:sz w:val="40"/>
          <w:szCs w:val="40"/>
        </w:rPr>
        <w:t>年度安岳县项目支出绩效自评计分表</w:t>
      </w:r>
    </w:p>
    <w:p>
      <w:pPr>
        <w:autoSpaceDE w:val="0"/>
        <w:autoSpaceDN w:val="0"/>
        <w:adjustRightInd w:val="0"/>
        <w:spacing w:line="580" w:lineRule="exact"/>
        <w:jc w:val="center"/>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（党风廉政建设宣教及专项监督检查经费）</w:t>
      </w:r>
    </w:p>
    <w:p>
      <w:pPr>
        <w:spacing w:line="620" w:lineRule="exact"/>
        <w:rPr>
          <w:rFonts w:ascii="宋体" w:hAnsi="宋体" w:eastAsia="方正黑体简体"/>
          <w:sz w:val="32"/>
          <w:szCs w:val="32"/>
        </w:rPr>
      </w:pPr>
      <w:r>
        <w:rPr>
          <w:rFonts w:hint="eastAsia" w:ascii="Times New Roman" w:hAnsi="Times New Roman" w:eastAsia="楷体_GB2312" w:cs="Times New Roman"/>
          <w:b/>
          <w:bCs/>
          <w:kern w:val="0"/>
          <w:sz w:val="20"/>
          <w:szCs w:val="20"/>
          <w:lang w:val="en-US" w:eastAsia="zh-CN"/>
        </w:rPr>
        <w:t xml:space="preserve">预算单位名称：中国共产党安岳县纪律检查委员会   </w:t>
      </w:r>
      <w:r>
        <w:rPr>
          <w:rFonts w:hint="eastAsia" w:eastAsia="楷体_GB2312" w:cs="Times New Roman"/>
          <w:b/>
          <w:bCs/>
          <w:kern w:val="0"/>
          <w:sz w:val="20"/>
          <w:szCs w:val="20"/>
          <w:lang w:val="en-US" w:eastAsia="zh-CN"/>
        </w:rPr>
        <w:t xml:space="preserve"> </w:t>
      </w:r>
      <w:r>
        <w:rPr>
          <w:rFonts w:hint="eastAsia" w:ascii="Times New Roman" w:hAnsi="Times New Roman" w:eastAsia="楷体_GB2312" w:cs="Times New Roman"/>
          <w:b/>
          <w:bCs/>
          <w:kern w:val="0"/>
          <w:sz w:val="20"/>
          <w:szCs w:val="20"/>
          <w:lang w:val="en-US" w:eastAsia="zh-CN"/>
        </w:rPr>
        <w:t xml:space="preserve">预算单位编码：103001    自评等级：优 </w:t>
      </w:r>
      <w:r>
        <w:rPr>
          <w:rFonts w:ascii="宋体" w:hAnsi="宋体" w:eastAsia="楷体_GB2312"/>
          <w:b/>
          <w:bCs/>
          <w:kern w:val="0"/>
          <w:sz w:val="20"/>
          <w:szCs w:val="20"/>
        </w:rPr>
        <w:t xml:space="preserve"> </w:t>
      </w:r>
      <w:r>
        <w:rPr>
          <w:rFonts w:ascii="宋体" w:hAnsi="宋体" w:eastAsia="方正小标宋简体"/>
          <w:color w:val="000000"/>
          <w:kern w:val="0"/>
          <w:szCs w:val="21"/>
        </w:rPr>
        <w:t xml:space="preserve">  </w:t>
      </w:r>
      <w:r>
        <w:rPr>
          <w:rFonts w:ascii="宋体" w:hAnsi="宋体" w:eastAsia="楷体_GB2312"/>
          <w:b/>
          <w:bCs/>
          <w:kern w:val="0"/>
          <w:sz w:val="20"/>
          <w:szCs w:val="20"/>
        </w:rPr>
        <w:t xml:space="preserve">              </w:t>
      </w:r>
    </w:p>
    <w:tbl>
      <w:tblPr>
        <w:tblStyle w:val="18"/>
        <w:tblW w:w="55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586"/>
        <w:gridCol w:w="768"/>
        <w:gridCol w:w="1852"/>
        <w:gridCol w:w="3413"/>
        <w:gridCol w:w="666"/>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360"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306"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401"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w:t>
            </w:r>
          </w:p>
        </w:tc>
        <w:tc>
          <w:tcPr>
            <w:tcW w:w="968"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784"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指标说明（评价计分标准）</w:t>
            </w:r>
          </w:p>
        </w:tc>
        <w:tc>
          <w:tcPr>
            <w:tcW w:w="348"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分数</w:t>
            </w:r>
          </w:p>
        </w:tc>
        <w:tc>
          <w:tcPr>
            <w:tcW w:w="831"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36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投   入（25分）</w:t>
            </w: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立项（15分）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项目立项规范性（5分）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项目的申请、设立过程是否符合相关要求，用以反映和考核项目立项的规范情况。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①项目是否按照规定的程序申请设立；（1分）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②所提交的文件、材料是否符合相关要求；（2分）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③事前是否已经过必要的可行性研究、专家论证、风险评估、集体决策等。（2分）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严格按照县财政局相关要求做好项目申请、入库、登记等流程，相关资料留存备查</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绩效目标合理性（4分）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项目所设定的绩效目标是否依据充分，是否符合客观实际，用以反映和考核项目绩效目标与项目实施的相符情况。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①是否符合国家相关法律法规、国民经济发展规划和党委政府决策；（1分）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②是否与项目实施单位或委托单位职责密切相关；（1分）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③项目是否为促进事业发展所必需；（1分）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④项目预期产出效益和效果是否符合正常的业绩水平。（1分）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项目所设定的绩效目标依据充分，符合客观实际</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绩效指标明确性（6分）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依据绩效目标设定的绩效指标是否清晰、细化、可衡量等，用以反映和考核项目绩效目标的明细化情况。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①是否将项目绩效目标细化分解为具体的绩效指标；（2分）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②是否通过清晰、可衡量的指标值予以体现；（1分）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③是否与项目年度任务数或计划数相对应；（1分）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④是否与预算确定的项目投资额或资金量相匹配。（2分）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依据绩效目标设定的绩效指标清晰、细化、可衡量</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落实（10分）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资金到位率（5分）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实际到位资金与计划投入资金的比率，用以反映和考核资金落实情况对项目实施的总体保障程度。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资金到位率=（实际到位资金/计划投入资金）×100%。（达到目标值得5分，每少一个百分点扣1分，扣完为止）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实际到位资金：一定时期（本年度或项目期）内实际落实到具体项目的资金。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计划投入资金：一定时期（本年度或项目期）内计划投入到具体项目的资金。</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实际到位</w:t>
            </w:r>
            <w:r>
              <w:rPr>
                <w:rFonts w:hint="eastAsia" w:ascii="宋体" w:hAnsi="宋体" w:eastAsia="宋体" w:cs="宋体"/>
                <w:kern w:val="0"/>
                <w:sz w:val="20"/>
                <w:szCs w:val="20"/>
                <w:lang w:val="en-US" w:eastAsia="zh-CN"/>
              </w:rPr>
              <w:t>91.95</w:t>
            </w:r>
            <w:r>
              <w:rPr>
                <w:rFonts w:hint="eastAsia" w:ascii="宋体" w:hAnsi="宋体" w:eastAsia="宋体" w:cs="宋体"/>
                <w:kern w:val="0"/>
                <w:sz w:val="20"/>
                <w:szCs w:val="20"/>
              </w:rPr>
              <w:t>万元/计划投入</w:t>
            </w:r>
            <w:r>
              <w:rPr>
                <w:rFonts w:hint="eastAsia" w:ascii="宋体" w:hAnsi="宋体" w:eastAsia="宋体" w:cs="宋体"/>
                <w:kern w:val="0"/>
                <w:sz w:val="20"/>
                <w:szCs w:val="20"/>
                <w:lang w:val="en-US" w:eastAsia="zh-CN"/>
              </w:rPr>
              <w:t>91.95</w:t>
            </w:r>
            <w:r>
              <w:rPr>
                <w:rFonts w:hint="eastAsia" w:ascii="宋体" w:hAnsi="宋体" w:eastAsia="宋体" w:cs="宋体"/>
                <w:kern w:val="0"/>
                <w:sz w:val="20"/>
                <w:szCs w:val="20"/>
              </w:rPr>
              <w:t>万元*100%=100%</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到位及时率（5分）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及时到位资金与应到位资金的比率，用以反映和考核项目资金落实的及时性程度。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到位及时率=（及时到位资金/应到位资金）×100%。（达到目标值得5分，每少一个百分点扣1分，扣完为止）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及时到位资金：截至规定时点实际落实到具体项目的资金。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应到位资金：按照合同或项目进度要求截至规定时点应落实到具体项目的资金。</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到位及时率（及时到位资金</w:t>
            </w:r>
            <w:r>
              <w:rPr>
                <w:rFonts w:hint="eastAsia" w:ascii="宋体" w:hAnsi="宋体" w:eastAsia="宋体" w:cs="宋体"/>
                <w:kern w:val="0"/>
                <w:sz w:val="20"/>
                <w:szCs w:val="20"/>
                <w:lang w:val="en-US" w:eastAsia="zh-CN"/>
              </w:rPr>
              <w:t>91.95万元</w:t>
            </w:r>
            <w:r>
              <w:rPr>
                <w:rFonts w:hint="eastAsia" w:ascii="宋体" w:hAnsi="宋体" w:eastAsia="宋体" w:cs="宋体"/>
                <w:kern w:val="0"/>
                <w:sz w:val="20"/>
                <w:szCs w:val="20"/>
              </w:rPr>
              <w:t>/应到位资</w:t>
            </w:r>
            <w:r>
              <w:rPr>
                <w:rFonts w:hint="eastAsia" w:ascii="宋体" w:hAnsi="宋体" w:eastAsia="宋体" w:cs="宋体"/>
                <w:kern w:val="0"/>
                <w:sz w:val="20"/>
                <w:szCs w:val="20"/>
                <w:lang w:val="en-US" w:eastAsia="zh-CN"/>
              </w:rPr>
              <w:t>91.95万元</w:t>
            </w:r>
            <w:r>
              <w:rPr>
                <w:rFonts w:hint="eastAsia" w:ascii="宋体" w:hAnsi="宋体" w:eastAsia="宋体" w:cs="宋体"/>
                <w:kern w:val="0"/>
                <w:sz w:val="20"/>
                <w:szCs w:val="20"/>
              </w:rPr>
              <w:t>）×100%=</w:t>
            </w:r>
            <w:r>
              <w:rPr>
                <w:rFonts w:hint="eastAsia" w:ascii="宋体" w:hAnsi="宋体" w:eastAsia="宋体" w:cs="宋体"/>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6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过   程（25分）</w:t>
            </w: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业务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管理（13分）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管理制度健全性（4分）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项目实施单位的业务管理制度是否健全，用以反映和考核业务管理制度对项目顺利实施的保障情况。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①是否已制定或具有相应的业务管理制度；（2分）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②业务管理制度是否合法、合规、完整。（2分）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已制定</w:t>
            </w:r>
            <w:r>
              <w:rPr>
                <w:rFonts w:hint="eastAsia" w:ascii="宋体" w:hAnsi="宋体" w:eastAsia="宋体" w:cs="宋体"/>
                <w:kern w:val="0"/>
                <w:sz w:val="20"/>
                <w:szCs w:val="20"/>
                <w:lang w:val="en-US" w:eastAsia="zh-CN"/>
              </w:rPr>
              <w:t>项目</w:t>
            </w:r>
            <w:r>
              <w:rPr>
                <w:rFonts w:hint="eastAsia" w:ascii="宋体" w:hAnsi="宋体" w:eastAsia="宋体" w:cs="宋体"/>
                <w:kern w:val="0"/>
                <w:sz w:val="20"/>
                <w:szCs w:val="20"/>
              </w:rPr>
              <w:t>相应的业务管理制度,并严格落实</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制度执行有效性（6分)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项目实施是否符合相关业务管理规定，用以反映和考核业务管理制度的有效执行情况。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①是否遵守相关法律法规和业务管理规定；(1分）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②项目调整及支出调整手续是否完备；（1分）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③项目合同书、验收报告、技术鉴定等资料是否齐全并及时归档；（2分）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④项目实施的人员条件、场地设备、信息支撑等是否落实到位。（2分）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严格按照法律法规实施项目,程序合规,资料完整归档,人财物保障到位</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项目质量可控性（3分）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项目实施单位是否为达到项目质量要求而采取了必需的措施,用以反映和考核项目实施单位对项目质量的控制情况。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①是否已制定或具有相应的项目质量要求或标准；（1分）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②是否采取了相应的项目质量检查、验收等必需的控制措施或手段。（2分）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制定了工作方案和考核办法。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管理（12分）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管理制度健全性（3分）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项目实施单位的财务制度是否健全，用以反映和考核财务管理制度对资金规范、安全运行的保障情况。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①是否已制定或具有相应的项目资金管理办法；（2分）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②项目资金管理办法是否符合相关财务会计制度的规定。（1分）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31" w:type="pct"/>
            <w:noWrap/>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已制定</w:t>
            </w:r>
            <w:r>
              <w:rPr>
                <w:rFonts w:hint="eastAsia" w:ascii="宋体" w:hAnsi="宋体" w:eastAsia="宋体" w:cs="宋体"/>
                <w:kern w:val="0"/>
                <w:sz w:val="20"/>
                <w:szCs w:val="20"/>
                <w:lang w:val="en-US" w:eastAsia="zh-CN"/>
              </w:rPr>
              <w:t>项目经费使用和管理办法。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资金使用合规性（7分）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项目资金使用是否符合相关的财务管理制度规定，用以反映和考核项目资金的规范运行情况。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①是否符合国家财经法规和财务管理制度以及有关专项资金管理办法的规定；（1分）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②资金的拨付是否有完整的审批程序和手续；（2分）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③项目的重大开支是否经过评估认证；（1分）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④是否符合项目预算批复或合同规定的用途；（1分）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⑤是否存在截留、挤占、挪用、虚列支出等情况。（2分）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符合相关财经法规制度,严格审批程序,专款专用,未发现违规违纪行为</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财务监控有效性（2分）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项目实施单位是否为保障资金的安全、规范运行而采取了必要的监控措施，用以反映和考核项目实施单位对资金运行的控制情况。</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①是否已制定或具有相应的监控机制；（1分）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②是否采取了相应的财务检查等必要的监控措施或手段。（1分）</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开展内部审计，实时监控分析财务收支流水账,全面掌握项目资金运行情况</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36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产   出（20分）</w:t>
            </w: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产出（20分）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实际完成率（4分）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项目实施的实际产出数与计划产出数的比率，用以反映和考核项目产出数量目标的实现程度。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实际完成率=（实际产出数/计划产出数）×100%。（得分=实际完成率*4分）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实际产出数：一定时期（本年度或项目期）内项目实际产出的产品或提供的服务数量。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计划产出数：项目绩效目标确定的在一定时期（本年度或项目期）内计划产出的产品或提供的服务数量。</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按照申报的项目绩效指标，全面超额完成。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完成及时率（6分）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项目实际提前完成时间与计划完成时间的比率，用以反映和考核项目产出时效目标的实现程度。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完成及时率=[（计划完成时间-实际完成时间）/计划完成时间]×100%。（1--4季度各得1.5分）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实际完成时间：项目实施单位完成该项目实际所耗用的时间。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计划完成时间：按照项目实施计划或相关规定完成该项目所需的时间。</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党风宣传及监督检查工作有</w:t>
            </w:r>
            <w:r>
              <w:rPr>
                <w:rFonts w:hint="eastAsia" w:ascii="宋体" w:hAnsi="宋体" w:eastAsia="宋体" w:cs="宋体"/>
                <w:kern w:val="0"/>
                <w:sz w:val="20"/>
                <w:szCs w:val="20"/>
              </w:rPr>
              <w:t>计划,分阶段推进,分管领导,各室负责人督促办理进度</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提前完成任务。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质量达标率（5分）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项目完成的质量达标产出数与实际产出数的比率，用以反映和考核项目产出质量目标的实现程度。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质量达标率=（质量达标产出数/实际产出数）×100%。（得分=达标率*5分）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质量达标产出数：一定时期（本年度或项目期）内实际达到既定质量标准的产品或服务数量。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既定质量标准是指项目实施单位设立绩效目标时依据计划标准、行业标准、历史标准或其他标准而设定的绩效指标值。</w:t>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rPr>
              <w:t>专项督查及整治完成率</w:t>
            </w:r>
            <w:r>
              <w:rPr>
                <w:rFonts w:hint="eastAsia" w:ascii="宋体" w:hAnsi="宋体" w:eastAsia="宋体" w:cs="宋体"/>
                <w:kern w:val="0"/>
                <w:sz w:val="20"/>
                <w:szCs w:val="20"/>
                <w:lang w:val="en-US" w:eastAsia="zh-CN"/>
              </w:rPr>
              <w:t>100%；</w:t>
            </w:r>
            <w:r>
              <w:rPr>
                <w:rFonts w:hint="eastAsia" w:ascii="宋体" w:hAnsi="宋体" w:eastAsia="宋体" w:cs="宋体"/>
                <w:kern w:val="0"/>
                <w:sz w:val="20"/>
                <w:szCs w:val="20"/>
              </w:rPr>
              <w:t>宣传稿件、宣传产品质量和采用率</w:t>
            </w:r>
            <w:r>
              <w:rPr>
                <w:rFonts w:hint="eastAsia" w:ascii="宋体" w:hAnsi="宋体" w:eastAsia="宋体" w:cs="宋体"/>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成本节约率（5分）</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完成项目计划工作目标的实际节约成本与计划成本的比率，用以反映和考核项目的成本节约程度。</w:t>
            </w:r>
          </w:p>
        </w:tc>
        <w:tc>
          <w:tcPr>
            <w:tcW w:w="1784"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成本节约率=[（计划成本-实际成本）/计划成本]×100%。(节约的计5分,增加的按比例扣分)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实际成本：项目实施单位如期、保质、保量完成既定工作目标实际所耗费的支出。计划成本：项目实施单位为完成工作目标计划安排的支出，一般以项目预算为参考。</w:t>
            </w:r>
            <w:r>
              <w:rPr>
                <w:rFonts w:hint="eastAsia" w:ascii="宋体" w:hAnsi="宋体" w:eastAsia="宋体" w:cs="宋体"/>
                <w:kern w:val="0"/>
                <w:sz w:val="20"/>
                <w:szCs w:val="20"/>
              </w:rPr>
              <w:br w:type="textWrapping"/>
            </w:r>
          </w:p>
        </w:tc>
        <w:tc>
          <w:tcPr>
            <w:tcW w:w="348"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31" w:type="pct"/>
            <w:noWrap/>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厉行节约,严控成本</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实际</w:t>
            </w:r>
            <w:r>
              <w:rPr>
                <w:rFonts w:hint="eastAsia" w:ascii="宋体" w:hAnsi="宋体" w:eastAsia="宋体" w:cs="宋体"/>
                <w:kern w:val="0"/>
                <w:sz w:val="20"/>
                <w:szCs w:val="20"/>
              </w:rPr>
              <w:t>支出</w:t>
            </w:r>
            <w:r>
              <w:rPr>
                <w:rFonts w:hint="eastAsia" w:ascii="宋体" w:hAnsi="宋体" w:eastAsia="宋体" w:cs="宋体"/>
                <w:kern w:val="0"/>
                <w:sz w:val="20"/>
                <w:szCs w:val="20"/>
                <w:lang w:val="en-US" w:eastAsia="zh-CN"/>
              </w:rPr>
              <w:t>小于计划成本。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60"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效果（30分）</w:t>
            </w:r>
          </w:p>
        </w:tc>
        <w:tc>
          <w:tcPr>
            <w:tcW w:w="306"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效益（</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0分）</w:t>
            </w: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经济效益</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项目实施对经济发展所带来的直接或间接影响情况。</w:t>
            </w:r>
          </w:p>
          <w:p>
            <w:pPr>
              <w:widowControl/>
              <w:jc w:val="left"/>
              <w:rPr>
                <w:rFonts w:hint="eastAsia" w:ascii="宋体" w:hAnsi="宋体" w:eastAsia="宋体" w:cs="宋体"/>
                <w:kern w:val="0"/>
                <w:sz w:val="20"/>
                <w:szCs w:val="20"/>
              </w:rPr>
            </w:pPr>
          </w:p>
        </w:tc>
        <w:tc>
          <w:tcPr>
            <w:tcW w:w="1784" w:type="pct"/>
            <w:vMerge w:val="restart"/>
            <w:shd w:val="clear" w:color="000000" w:fill="FFFFFF"/>
            <w:noWrap w:val="0"/>
            <w:vAlign w:val="center"/>
          </w:tcPr>
          <w:p>
            <w:pPr>
              <w:widowControl/>
              <w:jc w:val="left"/>
              <w:rPr>
                <w:rFonts w:hint="eastAsia" w:ascii="宋体" w:hAnsi="宋体" w:eastAsia="宋体" w:cs="宋体"/>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p>
        </w:tc>
        <w:tc>
          <w:tcPr>
            <w:tcW w:w="348" w:type="pct"/>
            <w:noWrap/>
            <w:vAlign w:val="center"/>
          </w:tcPr>
          <w:p>
            <w:pPr>
              <w:widowControl/>
              <w:jc w:val="center"/>
              <w:rPr>
                <w:rFonts w:hint="eastAsia" w:ascii="宋体" w:hAnsi="宋体" w:eastAsia="宋体" w:cs="宋体"/>
                <w:kern w:val="0"/>
                <w:sz w:val="20"/>
                <w:szCs w:val="20"/>
              </w:rPr>
            </w:pPr>
          </w:p>
        </w:tc>
        <w:tc>
          <w:tcPr>
            <w:tcW w:w="831" w:type="pct"/>
            <w:noWrap/>
            <w:vAlign w:val="center"/>
          </w:tcPr>
          <w:p>
            <w:pPr>
              <w:widowControl/>
              <w:jc w:val="left"/>
              <w:rPr>
                <w:rFonts w:hint="eastAsia" w:ascii="宋体" w:hAnsi="宋体" w:eastAsia="宋体" w:cs="宋体"/>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社会效益</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项目实施对社会发展所带来的直接或间接影响情况。</w:t>
            </w:r>
          </w:p>
        </w:tc>
        <w:tc>
          <w:tcPr>
            <w:tcW w:w="1784" w:type="pct"/>
            <w:vMerge w:val="continue"/>
            <w:noWrap w:val="0"/>
            <w:vAlign w:val="center"/>
          </w:tcPr>
          <w:p>
            <w:pPr>
              <w:widowControl/>
              <w:jc w:val="left"/>
              <w:rPr>
                <w:rFonts w:hint="eastAsia" w:ascii="宋体" w:hAnsi="宋体" w:eastAsia="宋体" w:cs="宋体"/>
                <w:kern w:val="0"/>
                <w:sz w:val="20"/>
                <w:szCs w:val="20"/>
              </w:rPr>
            </w:pPr>
          </w:p>
        </w:tc>
        <w:tc>
          <w:tcPr>
            <w:tcW w:w="348"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营造干部清正、政府清廉、政治清明、社会清新的环境</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生态效益</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项目实施对生态环境所带来的直接或间接影响情况。</w:t>
            </w:r>
          </w:p>
        </w:tc>
        <w:tc>
          <w:tcPr>
            <w:tcW w:w="1784" w:type="pct"/>
            <w:vMerge w:val="continue"/>
            <w:noWrap w:val="0"/>
            <w:vAlign w:val="center"/>
          </w:tcPr>
          <w:p>
            <w:pPr>
              <w:widowControl/>
              <w:jc w:val="left"/>
              <w:rPr>
                <w:rFonts w:hint="eastAsia" w:ascii="宋体" w:hAnsi="宋体" w:eastAsia="宋体" w:cs="宋体"/>
                <w:kern w:val="0"/>
                <w:sz w:val="20"/>
                <w:szCs w:val="20"/>
              </w:rPr>
            </w:pPr>
          </w:p>
        </w:tc>
        <w:tc>
          <w:tcPr>
            <w:tcW w:w="348" w:type="pct"/>
            <w:noWrap/>
            <w:vAlign w:val="center"/>
          </w:tcPr>
          <w:p>
            <w:pPr>
              <w:widowControl/>
              <w:jc w:val="center"/>
              <w:rPr>
                <w:rFonts w:hint="eastAsia" w:ascii="宋体" w:hAnsi="宋体" w:eastAsia="宋体" w:cs="宋体"/>
                <w:kern w:val="0"/>
                <w:sz w:val="20"/>
                <w:szCs w:val="20"/>
                <w:lang w:val="en-US" w:eastAsia="zh-CN"/>
              </w:rPr>
            </w:pPr>
          </w:p>
        </w:tc>
        <w:tc>
          <w:tcPr>
            <w:tcW w:w="831" w:type="pct"/>
            <w:noWrap/>
            <w:vAlign w:val="center"/>
          </w:tcPr>
          <w:p>
            <w:pPr>
              <w:widowControl/>
              <w:jc w:val="left"/>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401"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可持续影响</w:t>
            </w:r>
          </w:p>
        </w:tc>
        <w:tc>
          <w:tcPr>
            <w:tcW w:w="968" w:type="pct"/>
            <w:shd w:val="clear" w:color="000000" w:fill="FFFFFF"/>
            <w:noWrap w:val="0"/>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项目后续运行及成效发挥的可持续影响情况。</w:t>
            </w:r>
          </w:p>
          <w:p>
            <w:pPr>
              <w:widowControl/>
              <w:jc w:val="left"/>
              <w:rPr>
                <w:rFonts w:hint="eastAsia" w:ascii="宋体" w:hAnsi="宋体" w:eastAsia="宋体" w:cs="宋体"/>
                <w:kern w:val="0"/>
                <w:sz w:val="20"/>
                <w:szCs w:val="20"/>
              </w:rPr>
            </w:pPr>
          </w:p>
        </w:tc>
        <w:tc>
          <w:tcPr>
            <w:tcW w:w="1784" w:type="pct"/>
            <w:vMerge w:val="continue"/>
            <w:noWrap w:val="0"/>
            <w:vAlign w:val="center"/>
          </w:tcPr>
          <w:p>
            <w:pPr>
              <w:widowControl/>
              <w:jc w:val="left"/>
              <w:rPr>
                <w:rFonts w:hint="eastAsia" w:ascii="宋体" w:hAnsi="宋体" w:eastAsia="宋体" w:cs="宋体"/>
                <w:kern w:val="0"/>
                <w:sz w:val="20"/>
                <w:szCs w:val="20"/>
              </w:rPr>
            </w:pPr>
          </w:p>
        </w:tc>
        <w:tc>
          <w:tcPr>
            <w:tcW w:w="348"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31" w:type="pct"/>
            <w:noWrap/>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正风肃纪持续深化</w:t>
            </w:r>
            <w:r>
              <w:rPr>
                <w:rFonts w:hint="eastAsia" w:ascii="宋体" w:hAnsi="宋体" w:eastAsia="宋体" w:cs="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60"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06" w:type="pct"/>
            <w:shd w:val="clear" w:color="auto" w:fill="auto"/>
            <w:noWrap w:val="0"/>
            <w:vAlign w:val="center"/>
          </w:tcPr>
          <w:p>
            <w:pPr>
              <w:widowControl/>
              <w:jc w:val="center"/>
              <w:rPr>
                <w:rFonts w:hint="eastAsia" w:ascii="宋体" w:hAnsi="宋体" w:eastAsia="宋体" w:cs="宋体"/>
                <w:kern w:val="0"/>
                <w:sz w:val="20"/>
                <w:szCs w:val="20"/>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401" w:type="pct"/>
            <w:shd w:val="clear" w:color="000000" w:fill="FFFFFF"/>
            <w:noWrap w:val="0"/>
            <w:vAlign w:val="center"/>
          </w:tcPr>
          <w:p>
            <w:pPr>
              <w:widowControl/>
              <w:jc w:val="left"/>
              <w:rPr>
                <w:rFonts w:hint="eastAsia"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968"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1784"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348" w:type="pct"/>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10</w:t>
            </w:r>
          </w:p>
        </w:tc>
        <w:tc>
          <w:tcPr>
            <w:tcW w:w="831" w:type="pct"/>
            <w:noWrap/>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202</w:t>
            </w: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年度党风廉政建设满意度测评排名</w:t>
            </w:r>
            <w:r>
              <w:rPr>
                <w:rFonts w:hint="eastAsia" w:ascii="宋体" w:hAnsi="宋体" w:eastAsia="宋体" w:cs="宋体"/>
                <w:kern w:val="0"/>
                <w:sz w:val="20"/>
                <w:szCs w:val="20"/>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820" w:type="pct"/>
            <w:gridSpan w:val="5"/>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348"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100</w:t>
            </w:r>
          </w:p>
        </w:tc>
        <w:tc>
          <w:tcPr>
            <w:tcW w:w="831" w:type="pct"/>
            <w:noWrap/>
            <w:vAlign w:val="center"/>
          </w:tcPr>
          <w:p>
            <w:pPr>
              <w:widowControl/>
              <w:jc w:val="center"/>
              <w:rPr>
                <w:rFonts w:hint="eastAsia" w:ascii="宋体" w:hAnsi="宋体" w:eastAsia="宋体" w:cs="宋体"/>
                <w:kern w:val="0"/>
                <w:sz w:val="20"/>
                <w:szCs w:val="20"/>
              </w:rPr>
            </w:pPr>
          </w:p>
        </w:tc>
      </w:tr>
    </w:tbl>
    <w:p>
      <w:pPr>
        <w:rPr>
          <w:rFonts w:hint="eastAsia" w:ascii="宋体" w:hAnsi="宋体"/>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spacing w:line="620" w:lineRule="exact"/>
        <w:jc w:val="left"/>
        <w:rPr>
          <w:rFonts w:hint="default"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附件3-2</w:t>
      </w:r>
    </w:p>
    <w:p>
      <w:pPr>
        <w:spacing w:line="620" w:lineRule="exact"/>
        <w:jc w:val="center"/>
        <w:rPr>
          <w:rFonts w:ascii="宋体" w:hAnsi="宋体" w:eastAsia="方正小标宋简体"/>
          <w:color w:val="000000"/>
          <w:spacing w:val="-12"/>
          <w:kern w:val="0"/>
          <w:sz w:val="40"/>
          <w:szCs w:val="40"/>
        </w:rPr>
      </w:pPr>
      <w:r>
        <w:rPr>
          <w:rFonts w:ascii="宋体" w:hAnsi="宋体" w:eastAsia="方正小标宋简体"/>
          <w:color w:val="000000"/>
          <w:spacing w:val="-12"/>
          <w:kern w:val="0"/>
          <w:sz w:val="40"/>
          <w:szCs w:val="40"/>
        </w:rPr>
        <w:t>20</w:t>
      </w:r>
      <w:r>
        <w:rPr>
          <w:rFonts w:hint="eastAsia" w:ascii="宋体" w:hAnsi="宋体" w:eastAsia="方正小标宋简体"/>
          <w:color w:val="000000"/>
          <w:spacing w:val="-12"/>
          <w:kern w:val="0"/>
          <w:sz w:val="40"/>
          <w:szCs w:val="40"/>
        </w:rPr>
        <w:t>2</w:t>
      </w:r>
      <w:r>
        <w:rPr>
          <w:rFonts w:hint="eastAsia" w:ascii="宋体" w:hAnsi="宋体" w:eastAsia="方正小标宋简体"/>
          <w:color w:val="000000"/>
          <w:spacing w:val="-12"/>
          <w:kern w:val="0"/>
          <w:sz w:val="40"/>
          <w:szCs w:val="40"/>
          <w:lang w:val="en-US" w:eastAsia="zh-CN"/>
        </w:rPr>
        <w:t>3</w:t>
      </w:r>
      <w:r>
        <w:rPr>
          <w:rFonts w:ascii="宋体" w:hAnsi="宋体" w:eastAsia="方正小标宋简体"/>
          <w:color w:val="000000"/>
          <w:spacing w:val="-12"/>
          <w:kern w:val="0"/>
          <w:sz w:val="40"/>
          <w:szCs w:val="40"/>
        </w:rPr>
        <w:t>年度</w:t>
      </w:r>
      <w:r>
        <w:rPr>
          <w:rFonts w:hint="eastAsia" w:ascii="宋体" w:hAnsi="宋体" w:eastAsia="方正小标宋简体"/>
          <w:color w:val="000000"/>
          <w:spacing w:val="-12"/>
          <w:kern w:val="0"/>
          <w:sz w:val="40"/>
          <w:szCs w:val="40"/>
        </w:rPr>
        <w:t>安岳县</w:t>
      </w:r>
      <w:r>
        <w:rPr>
          <w:rFonts w:ascii="宋体" w:hAnsi="宋体" w:eastAsia="方正小标宋简体"/>
          <w:color w:val="000000"/>
          <w:spacing w:val="-12"/>
          <w:kern w:val="0"/>
          <w:sz w:val="40"/>
          <w:szCs w:val="40"/>
        </w:rPr>
        <w:t>项目支出绩效目标完成情况表</w:t>
      </w:r>
    </w:p>
    <w:p>
      <w:pPr>
        <w:pStyle w:val="2"/>
      </w:pPr>
    </w:p>
    <w:tbl>
      <w:tblPr>
        <w:tblStyle w:val="18"/>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964"/>
        <w:gridCol w:w="1207"/>
        <w:gridCol w:w="242"/>
        <w:gridCol w:w="1444"/>
        <w:gridCol w:w="965"/>
        <w:gridCol w:w="144"/>
        <w:gridCol w:w="19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trPr>
        <w:tc>
          <w:tcPr>
            <w:tcW w:w="890"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项目</w:t>
            </w:r>
          </w:p>
          <w:p>
            <w:pPr>
              <w:widowControl/>
              <w:jc w:val="center"/>
              <w:rPr>
                <w:rFonts w:ascii="宋体" w:hAnsi="宋体"/>
                <w:color w:val="000000"/>
                <w:kern w:val="0"/>
                <w:sz w:val="18"/>
                <w:szCs w:val="18"/>
              </w:rPr>
            </w:pPr>
            <w:r>
              <w:rPr>
                <w:rFonts w:ascii="宋体" w:hAnsi="宋体"/>
                <w:color w:val="000000"/>
                <w:kern w:val="0"/>
                <w:sz w:val="18"/>
                <w:szCs w:val="18"/>
              </w:rPr>
              <w:t>名称</w:t>
            </w:r>
          </w:p>
        </w:tc>
        <w:tc>
          <w:tcPr>
            <w:tcW w:w="8075" w:type="dxa"/>
            <w:gridSpan w:val="9"/>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党风廉政建设宣教及专项监督检查经费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项目</w:t>
            </w:r>
          </w:p>
          <w:p>
            <w:pPr>
              <w:widowControl/>
              <w:jc w:val="center"/>
              <w:rPr>
                <w:rFonts w:ascii="宋体" w:hAnsi="宋体"/>
                <w:color w:val="000000"/>
                <w:kern w:val="0"/>
                <w:sz w:val="18"/>
                <w:szCs w:val="18"/>
              </w:rPr>
            </w:pPr>
            <w:r>
              <w:rPr>
                <w:rFonts w:ascii="宋体" w:hAnsi="宋体"/>
                <w:color w:val="000000"/>
                <w:kern w:val="0"/>
                <w:sz w:val="18"/>
                <w:szCs w:val="18"/>
              </w:rPr>
              <w:t>类型</w:t>
            </w: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产业发展</w:t>
            </w:r>
          </w:p>
        </w:tc>
        <w:tc>
          <w:tcPr>
            <w:tcW w:w="964"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民生</w:t>
            </w:r>
          </w:p>
          <w:p>
            <w:pPr>
              <w:widowControl/>
              <w:jc w:val="center"/>
              <w:rPr>
                <w:rFonts w:ascii="宋体" w:hAnsi="宋体"/>
                <w:color w:val="000000"/>
                <w:kern w:val="0"/>
                <w:sz w:val="18"/>
                <w:szCs w:val="18"/>
              </w:rPr>
            </w:pPr>
            <w:r>
              <w:rPr>
                <w:rFonts w:ascii="宋体" w:hAnsi="宋体"/>
                <w:color w:val="000000"/>
                <w:kern w:val="0"/>
                <w:sz w:val="18"/>
                <w:szCs w:val="18"/>
              </w:rPr>
              <w:t>保障</w:t>
            </w:r>
          </w:p>
        </w:tc>
        <w:tc>
          <w:tcPr>
            <w:tcW w:w="2893"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基础设施</w:t>
            </w:r>
          </w:p>
        </w:tc>
        <w:tc>
          <w:tcPr>
            <w:tcW w:w="3018"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8"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w:t>
            </w:r>
          </w:p>
        </w:tc>
        <w:tc>
          <w:tcPr>
            <w:tcW w:w="964" w:type="dxa"/>
            <w:noWrap/>
            <w:vAlign w:val="center"/>
          </w:tcPr>
          <w:p>
            <w:pPr>
              <w:jc w:val="center"/>
              <w:rPr>
                <w:rFonts w:ascii="宋体" w:hAnsi="宋体"/>
                <w:sz w:val="18"/>
                <w:szCs w:val="18"/>
              </w:rPr>
            </w:pPr>
            <w:r>
              <w:rPr>
                <w:rFonts w:ascii="宋体" w:hAnsi="宋体"/>
                <w:color w:val="000000"/>
                <w:kern w:val="0"/>
                <w:sz w:val="18"/>
                <w:szCs w:val="18"/>
              </w:rPr>
              <w:t>□</w:t>
            </w:r>
          </w:p>
        </w:tc>
        <w:tc>
          <w:tcPr>
            <w:tcW w:w="2893" w:type="dxa"/>
            <w:gridSpan w:val="3"/>
            <w:noWrap/>
            <w:vAlign w:val="center"/>
          </w:tcPr>
          <w:p>
            <w:pPr>
              <w:jc w:val="center"/>
              <w:rPr>
                <w:rFonts w:ascii="宋体" w:hAnsi="宋体"/>
                <w:sz w:val="18"/>
                <w:szCs w:val="18"/>
              </w:rPr>
            </w:pPr>
            <w:r>
              <w:rPr>
                <w:rFonts w:ascii="宋体" w:hAnsi="宋体"/>
                <w:color w:val="000000"/>
                <w:kern w:val="0"/>
                <w:sz w:val="18"/>
                <w:szCs w:val="18"/>
              </w:rPr>
              <w:t>□</w:t>
            </w:r>
          </w:p>
        </w:tc>
        <w:tc>
          <w:tcPr>
            <w:tcW w:w="3018" w:type="dxa"/>
            <w:gridSpan w:val="3"/>
            <w:noWrap/>
            <w:vAlign w:val="center"/>
          </w:tcPr>
          <w:p>
            <w:pPr>
              <w:jc w:val="center"/>
              <w:rPr>
                <w:rFonts w:hint="eastAsia" w:ascii="宋体" w:hAnsi="宋体"/>
                <w:sz w:val="18"/>
                <w:szCs w:val="18"/>
              </w:rPr>
            </w:pPr>
            <w:r>
              <w:rPr>
                <w:rFonts w:ascii="宋体" w:hAnsi="宋体"/>
                <w:color w:val="000000"/>
                <w:kern w:val="0"/>
                <w:sz w:val="18"/>
                <w:szCs w:val="18"/>
              </w:rPr>
              <w:sym w:font="Wingdings 2" w:char="0052"/>
            </w:r>
            <w:r>
              <w:rPr>
                <w:rFonts w:ascii="宋体" w:hAnsi="宋体" w:cs="Wingdings 2"/>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trPr>
        <w:tc>
          <w:tcPr>
            <w:tcW w:w="890"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部门（单位）名称</w:t>
            </w:r>
          </w:p>
        </w:tc>
        <w:tc>
          <w:tcPr>
            <w:tcW w:w="5057" w:type="dxa"/>
            <w:gridSpan w:val="6"/>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中国共产党安岳县纪律检查委员会</w:t>
            </w:r>
          </w:p>
        </w:tc>
        <w:tc>
          <w:tcPr>
            <w:tcW w:w="1109"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预算单位编码</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07"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预算执行情况</w:t>
            </w: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项目</w:t>
            </w:r>
          </w:p>
        </w:tc>
        <w:tc>
          <w:tcPr>
            <w:tcW w:w="964"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预算额(百元)</w:t>
            </w:r>
          </w:p>
        </w:tc>
        <w:tc>
          <w:tcPr>
            <w:tcW w:w="1207"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执行额(百元)</w:t>
            </w:r>
          </w:p>
        </w:tc>
        <w:tc>
          <w:tcPr>
            <w:tcW w:w="1686"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当年结转结余额(百元)</w:t>
            </w:r>
          </w:p>
        </w:tc>
        <w:tc>
          <w:tcPr>
            <w:tcW w:w="1109"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结转结余率%</w:t>
            </w:r>
          </w:p>
        </w:tc>
        <w:tc>
          <w:tcPr>
            <w:tcW w:w="1909"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合   计</w:t>
            </w:r>
          </w:p>
        </w:tc>
        <w:tc>
          <w:tcPr>
            <w:tcW w:w="964" w:type="dxa"/>
            <w:noWrap/>
            <w:vAlign w:val="center"/>
          </w:tcPr>
          <w:p>
            <w:pPr>
              <w:widowControl/>
              <w:jc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9195</w:t>
            </w:r>
          </w:p>
        </w:tc>
        <w:tc>
          <w:tcPr>
            <w:tcW w:w="1207" w:type="dxa"/>
            <w:noWrap/>
            <w:vAlign w:val="center"/>
          </w:tcPr>
          <w:p>
            <w:pPr>
              <w:widowControl/>
              <w:jc w:val="center"/>
              <w:rPr>
                <w:rFonts w:hint="default" w:ascii="宋体" w:hAnsi="宋体"/>
                <w:color w:val="000000"/>
                <w:kern w:val="0"/>
                <w:sz w:val="18"/>
                <w:szCs w:val="18"/>
                <w:lang w:val="en-US" w:eastAsia="zh-CN" w:bidi="ar-SA"/>
              </w:rPr>
            </w:pPr>
            <w:r>
              <w:rPr>
                <w:rFonts w:hint="eastAsia" w:ascii="宋体" w:hAnsi="宋体"/>
                <w:color w:val="000000"/>
                <w:kern w:val="0"/>
                <w:sz w:val="18"/>
                <w:szCs w:val="18"/>
                <w:lang w:val="en-US" w:eastAsia="zh-CN"/>
              </w:rPr>
              <w:t>9195</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69"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财政拨款</w:t>
            </w:r>
          </w:p>
        </w:tc>
        <w:tc>
          <w:tcPr>
            <w:tcW w:w="964" w:type="dxa"/>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9195</w:t>
            </w:r>
          </w:p>
        </w:tc>
        <w:tc>
          <w:tcPr>
            <w:tcW w:w="1207" w:type="dxa"/>
            <w:noWrap/>
            <w:vAlign w:val="center"/>
          </w:tcPr>
          <w:p>
            <w:pPr>
              <w:widowControl/>
              <w:jc w:val="center"/>
              <w:rPr>
                <w:rFonts w:hint="default" w:ascii="宋体" w:hAnsi="宋体"/>
                <w:color w:val="000000"/>
                <w:kern w:val="0"/>
                <w:sz w:val="18"/>
                <w:szCs w:val="18"/>
                <w:lang w:val="en-US"/>
              </w:rPr>
            </w:pPr>
            <w:r>
              <w:rPr>
                <w:rFonts w:hint="eastAsia" w:ascii="宋体" w:hAnsi="宋体"/>
                <w:color w:val="000000"/>
                <w:kern w:val="0"/>
                <w:sz w:val="18"/>
                <w:szCs w:val="18"/>
                <w:lang w:val="en-US" w:eastAsia="zh-CN"/>
              </w:rPr>
              <w:t>9195</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其他资金</w:t>
            </w:r>
          </w:p>
        </w:tc>
        <w:tc>
          <w:tcPr>
            <w:tcW w:w="964" w:type="dxa"/>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1207" w:type="dxa"/>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1686" w:type="dxa"/>
            <w:gridSpan w:val="2"/>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1109" w:type="dxa"/>
            <w:gridSpan w:val="2"/>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c>
          <w:tcPr>
            <w:tcW w:w="1909" w:type="dxa"/>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3"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财政拨款结构</w:t>
            </w: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项目</w:t>
            </w:r>
          </w:p>
        </w:tc>
        <w:tc>
          <w:tcPr>
            <w:tcW w:w="964"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合计</w:t>
            </w:r>
          </w:p>
        </w:tc>
        <w:tc>
          <w:tcPr>
            <w:tcW w:w="1207"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一般公共预算安排</w:t>
            </w:r>
          </w:p>
        </w:tc>
        <w:tc>
          <w:tcPr>
            <w:tcW w:w="1686"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政府性基金预算安排</w:t>
            </w:r>
          </w:p>
        </w:tc>
        <w:tc>
          <w:tcPr>
            <w:tcW w:w="1109"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国有资本经营预算安排</w:t>
            </w:r>
          </w:p>
        </w:tc>
        <w:tc>
          <w:tcPr>
            <w:tcW w:w="1909"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预算额</w:t>
            </w:r>
          </w:p>
          <w:p>
            <w:pPr>
              <w:widowControl/>
              <w:jc w:val="center"/>
              <w:rPr>
                <w:rFonts w:ascii="宋体" w:hAnsi="宋体"/>
                <w:color w:val="000000"/>
                <w:kern w:val="0"/>
                <w:sz w:val="18"/>
                <w:szCs w:val="18"/>
              </w:rPr>
            </w:pPr>
            <w:r>
              <w:rPr>
                <w:rFonts w:ascii="宋体" w:hAnsi="宋体"/>
                <w:color w:val="000000"/>
                <w:kern w:val="0"/>
                <w:sz w:val="18"/>
                <w:szCs w:val="18"/>
              </w:rPr>
              <w:t>(百元)</w:t>
            </w:r>
          </w:p>
        </w:tc>
        <w:tc>
          <w:tcPr>
            <w:tcW w:w="964" w:type="dxa"/>
            <w:noWrap/>
            <w:vAlign w:val="center"/>
          </w:tcPr>
          <w:p>
            <w:pPr>
              <w:widowControl/>
              <w:jc w:val="center"/>
              <w:rPr>
                <w:rFonts w:hint="default" w:ascii="宋体" w:hAnsi="宋体"/>
                <w:color w:val="000000"/>
                <w:kern w:val="0"/>
                <w:sz w:val="18"/>
                <w:szCs w:val="18"/>
                <w:lang w:val="en-US"/>
              </w:rPr>
            </w:pPr>
            <w:r>
              <w:rPr>
                <w:rFonts w:hint="eastAsia" w:ascii="宋体" w:hAnsi="宋体"/>
                <w:color w:val="000000"/>
                <w:kern w:val="0"/>
                <w:sz w:val="18"/>
                <w:szCs w:val="18"/>
                <w:lang w:val="en-US" w:eastAsia="zh-CN"/>
              </w:rPr>
              <w:t>9195</w:t>
            </w:r>
          </w:p>
        </w:tc>
        <w:tc>
          <w:tcPr>
            <w:tcW w:w="1207" w:type="dxa"/>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6378</w:t>
            </w:r>
          </w:p>
        </w:tc>
        <w:tc>
          <w:tcPr>
            <w:tcW w:w="1686" w:type="dxa"/>
            <w:gridSpan w:val="2"/>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2817</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执行额</w:t>
            </w:r>
          </w:p>
          <w:p>
            <w:pPr>
              <w:widowControl/>
              <w:jc w:val="center"/>
              <w:rPr>
                <w:rFonts w:ascii="宋体" w:hAnsi="宋体"/>
                <w:color w:val="000000"/>
                <w:kern w:val="0"/>
                <w:sz w:val="18"/>
                <w:szCs w:val="18"/>
              </w:rPr>
            </w:pPr>
            <w:r>
              <w:rPr>
                <w:rFonts w:ascii="宋体" w:hAnsi="宋体"/>
                <w:color w:val="000000"/>
                <w:kern w:val="0"/>
                <w:sz w:val="18"/>
                <w:szCs w:val="18"/>
              </w:rPr>
              <w:t>(百元)</w:t>
            </w:r>
          </w:p>
        </w:tc>
        <w:tc>
          <w:tcPr>
            <w:tcW w:w="964" w:type="dxa"/>
            <w:noWrap/>
            <w:vAlign w:val="center"/>
          </w:tcPr>
          <w:p>
            <w:pPr>
              <w:widowControl/>
              <w:jc w:val="center"/>
              <w:rPr>
                <w:rFonts w:hint="default" w:ascii="宋体" w:hAnsi="宋体"/>
                <w:color w:val="000000"/>
                <w:kern w:val="0"/>
                <w:sz w:val="18"/>
                <w:szCs w:val="18"/>
                <w:lang w:val="en-US"/>
              </w:rPr>
            </w:pPr>
            <w:r>
              <w:rPr>
                <w:rFonts w:hint="eastAsia" w:ascii="宋体" w:hAnsi="宋体"/>
                <w:color w:val="000000"/>
                <w:kern w:val="0"/>
                <w:sz w:val="18"/>
                <w:szCs w:val="18"/>
                <w:lang w:val="en-US" w:eastAsia="zh-CN"/>
              </w:rPr>
              <w:t>9195</w:t>
            </w:r>
          </w:p>
        </w:tc>
        <w:tc>
          <w:tcPr>
            <w:tcW w:w="1207" w:type="dxa"/>
            <w:noWrap/>
            <w:vAlign w:val="center"/>
          </w:tcPr>
          <w:p>
            <w:pPr>
              <w:widowControl/>
              <w:jc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6378</w:t>
            </w:r>
          </w:p>
        </w:tc>
        <w:tc>
          <w:tcPr>
            <w:tcW w:w="1686" w:type="dxa"/>
            <w:gridSpan w:val="2"/>
            <w:noWrap/>
            <w:vAlign w:val="center"/>
          </w:tcPr>
          <w:p>
            <w:pPr>
              <w:widowControl/>
              <w:jc w:val="center"/>
              <w:rPr>
                <w:rFonts w:hint="default" w:ascii="宋体" w:hAnsi="宋体"/>
                <w:color w:val="000000"/>
                <w:kern w:val="0"/>
                <w:sz w:val="18"/>
                <w:szCs w:val="18"/>
                <w:lang w:val="en-US" w:eastAsia="zh-CN" w:bidi="ar-SA"/>
              </w:rPr>
            </w:pPr>
            <w:r>
              <w:rPr>
                <w:rFonts w:hint="eastAsia" w:ascii="宋体" w:hAnsi="宋体"/>
                <w:color w:val="000000"/>
                <w:kern w:val="0"/>
                <w:sz w:val="18"/>
                <w:szCs w:val="18"/>
                <w:lang w:val="en-US" w:eastAsia="zh-CN"/>
              </w:rPr>
              <w:t>2817</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当年结转结余额(百元)</w:t>
            </w:r>
          </w:p>
        </w:tc>
        <w:tc>
          <w:tcPr>
            <w:tcW w:w="964"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207"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结转结余率%</w:t>
            </w:r>
          </w:p>
        </w:tc>
        <w:tc>
          <w:tcPr>
            <w:tcW w:w="964"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207"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trPr>
        <w:tc>
          <w:tcPr>
            <w:tcW w:w="890" w:type="dxa"/>
            <w:vMerge w:val="continue"/>
            <w:noWrap w:val="0"/>
            <w:vAlign w:val="center"/>
          </w:tcPr>
          <w:p>
            <w:pPr>
              <w:widowControl/>
              <w:jc w:val="center"/>
              <w:rPr>
                <w:rFonts w:ascii="宋体" w:hAnsi="宋体"/>
                <w:color w:val="000000"/>
                <w:kern w:val="0"/>
                <w:sz w:val="18"/>
                <w:szCs w:val="18"/>
              </w:rPr>
            </w:pPr>
          </w:p>
        </w:tc>
        <w:tc>
          <w:tcPr>
            <w:tcW w:w="1200"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结转结余变动率%</w:t>
            </w:r>
          </w:p>
        </w:tc>
        <w:tc>
          <w:tcPr>
            <w:tcW w:w="964"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207"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686"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109" w:type="dxa"/>
            <w:gridSpan w:val="2"/>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1909" w:type="dxa"/>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023"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年度总体目标</w:t>
            </w:r>
          </w:p>
        </w:tc>
        <w:tc>
          <w:tcPr>
            <w:tcW w:w="2164"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预算总体目标</w:t>
            </w:r>
          </w:p>
        </w:tc>
        <w:tc>
          <w:tcPr>
            <w:tcW w:w="2893"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预算总体目标执行结果</w:t>
            </w:r>
          </w:p>
        </w:tc>
        <w:tc>
          <w:tcPr>
            <w:tcW w:w="3018"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247" w:hRule="atLeast"/>
        </w:trPr>
        <w:tc>
          <w:tcPr>
            <w:tcW w:w="890" w:type="dxa"/>
            <w:vMerge w:val="continue"/>
            <w:noWrap w:val="0"/>
            <w:vAlign w:val="center"/>
          </w:tcPr>
          <w:p>
            <w:pPr>
              <w:widowControl/>
              <w:jc w:val="center"/>
              <w:rPr>
                <w:rFonts w:ascii="宋体" w:hAnsi="宋体"/>
                <w:color w:val="000000"/>
                <w:kern w:val="0"/>
                <w:sz w:val="18"/>
                <w:szCs w:val="18"/>
              </w:rPr>
            </w:pPr>
          </w:p>
        </w:tc>
        <w:tc>
          <w:tcPr>
            <w:tcW w:w="2164" w:type="dxa"/>
            <w:gridSpan w:val="3"/>
            <w:noWrap/>
            <w:vAlign w:val="center"/>
          </w:tcPr>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Times New Roman"/>
                <w:color w:val="000000"/>
                <w:kern w:val="0"/>
                <w:sz w:val="18"/>
                <w:szCs w:val="18"/>
                <w:lang w:val="en-US" w:eastAsia="zh-CN" w:bidi="ar-SA"/>
              </w:rPr>
            </w:pPr>
            <w:r>
              <w:rPr>
                <w:rFonts w:hint="eastAsia" w:ascii="宋体" w:hAnsi="宋体" w:eastAsia="宋体" w:cs="Times New Roman"/>
                <w:color w:val="000000"/>
                <w:kern w:val="0"/>
                <w:sz w:val="18"/>
                <w:szCs w:val="18"/>
                <w:lang w:val="en-US" w:eastAsia="zh-CN" w:bidi="ar-SA"/>
              </w:rPr>
              <w:t>通过做实日常监督检查和专项整治工作，加大党风廉政建设宣传引导，打造廉洁文化暨党风廉政建设示范点，持之以恒正风肃纪，坚决遏制腐败问题反弹回潮，营造良好政治生态。</w:t>
            </w:r>
          </w:p>
          <w:p>
            <w:pPr>
              <w:widowControl/>
              <w:jc w:val="left"/>
              <w:rPr>
                <w:rFonts w:ascii="宋体" w:hAnsi="宋体"/>
                <w:color w:val="000000"/>
                <w:kern w:val="0"/>
                <w:sz w:val="18"/>
                <w:szCs w:val="18"/>
              </w:rPr>
            </w:pPr>
          </w:p>
        </w:tc>
        <w:tc>
          <w:tcPr>
            <w:tcW w:w="2893" w:type="dxa"/>
            <w:gridSpan w:val="3"/>
            <w:noWrap/>
            <w:vAlign w:val="center"/>
          </w:tcPr>
          <w:p>
            <w:pPr>
              <w:widowControl/>
              <w:jc w:val="left"/>
              <w:rPr>
                <w:rFonts w:ascii="宋体" w:hAnsi="宋体"/>
                <w:color w:val="000000"/>
                <w:kern w:val="0"/>
                <w:sz w:val="18"/>
                <w:szCs w:val="18"/>
              </w:rPr>
            </w:pPr>
            <w:r>
              <w:rPr>
                <w:rFonts w:hint="eastAsia" w:ascii="宋体" w:hAnsi="宋体" w:eastAsia="宋体" w:cs="Times New Roman"/>
                <w:color w:val="000000"/>
                <w:kern w:val="0"/>
                <w:sz w:val="18"/>
                <w:szCs w:val="18"/>
                <w:lang w:val="en-US" w:eastAsia="zh-CN"/>
              </w:rPr>
              <w:t>2023年采取多方联动多领域开展监督检查，驰而不息正风肃纪，坚定不移惩贪治腐，纵深推进党风廉政建设和反腐败工作；通过开展“大宣传扬正气”系列活动，发挥电视、报刊、新媒体等作用，科学谋划，充分展示“清廉安岳”的进展动态，深入挖掘“清廉安岳”建设中的先进典型，特色亮点开展广泛宣传，进一步增强党员干部廉洁法律意识，提升我县党风廉政建设和反腐败工作影响力。</w:t>
            </w:r>
          </w:p>
        </w:tc>
        <w:tc>
          <w:tcPr>
            <w:tcW w:w="3018" w:type="dxa"/>
            <w:gridSpan w:val="3"/>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90" w:type="dxa"/>
            <w:vMerge w:val="restart"/>
            <w:noWrap/>
            <w:vAlign w:val="center"/>
          </w:tcPr>
          <w:p>
            <w:pPr>
              <w:widowControl/>
              <w:jc w:val="center"/>
              <w:rPr>
                <w:rFonts w:ascii="宋体" w:hAnsi="宋体"/>
                <w:color w:val="000000"/>
                <w:kern w:val="0"/>
                <w:sz w:val="18"/>
                <w:szCs w:val="18"/>
              </w:rPr>
            </w:pPr>
            <w:r>
              <w:rPr>
                <w:rFonts w:ascii="宋体" w:hAnsi="宋体"/>
                <w:color w:val="000000"/>
                <w:kern w:val="0"/>
                <w:sz w:val="18"/>
                <w:szCs w:val="18"/>
              </w:rPr>
              <w:t>年度绩</w:t>
            </w:r>
          </w:p>
          <w:p>
            <w:pPr>
              <w:widowControl/>
              <w:jc w:val="center"/>
              <w:rPr>
                <w:rFonts w:ascii="宋体" w:hAnsi="宋体"/>
                <w:color w:val="000000"/>
                <w:kern w:val="0"/>
                <w:sz w:val="18"/>
                <w:szCs w:val="18"/>
              </w:rPr>
            </w:pPr>
            <w:r>
              <w:rPr>
                <w:rFonts w:ascii="宋体" w:hAnsi="宋体"/>
                <w:color w:val="000000"/>
                <w:kern w:val="0"/>
                <w:sz w:val="18"/>
                <w:szCs w:val="18"/>
              </w:rPr>
              <w:t>效指标</w:t>
            </w:r>
          </w:p>
        </w:tc>
        <w:tc>
          <w:tcPr>
            <w:tcW w:w="847"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一级</w:t>
            </w:r>
          </w:p>
          <w:p>
            <w:pPr>
              <w:widowControl/>
              <w:jc w:val="center"/>
              <w:rPr>
                <w:rFonts w:ascii="宋体" w:hAnsi="宋体"/>
                <w:color w:val="000000"/>
                <w:kern w:val="0"/>
                <w:sz w:val="18"/>
                <w:szCs w:val="18"/>
              </w:rPr>
            </w:pPr>
            <w:r>
              <w:rPr>
                <w:rFonts w:ascii="宋体" w:hAnsi="宋体"/>
                <w:color w:val="000000"/>
                <w:kern w:val="0"/>
                <w:sz w:val="18"/>
                <w:szCs w:val="18"/>
              </w:rPr>
              <w:t>指标</w:t>
            </w:r>
          </w:p>
        </w:tc>
        <w:tc>
          <w:tcPr>
            <w:tcW w:w="1317"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二级指标</w:t>
            </w:r>
          </w:p>
        </w:tc>
        <w:tc>
          <w:tcPr>
            <w:tcW w:w="1449" w:type="dxa"/>
            <w:gridSpan w:val="2"/>
            <w:noWrap/>
            <w:vAlign w:val="center"/>
          </w:tcPr>
          <w:p>
            <w:pPr>
              <w:widowControl/>
              <w:jc w:val="center"/>
              <w:rPr>
                <w:rFonts w:ascii="宋体" w:hAnsi="宋体"/>
                <w:color w:val="000000"/>
                <w:kern w:val="0"/>
                <w:sz w:val="18"/>
                <w:szCs w:val="18"/>
              </w:rPr>
            </w:pPr>
            <w:r>
              <w:rPr>
                <w:rFonts w:ascii="宋体" w:hAnsi="宋体"/>
                <w:color w:val="000000"/>
                <w:kern w:val="0"/>
                <w:sz w:val="18"/>
                <w:szCs w:val="18"/>
              </w:rPr>
              <w:t>三级</w:t>
            </w:r>
          </w:p>
          <w:p>
            <w:pPr>
              <w:widowControl/>
              <w:jc w:val="center"/>
              <w:rPr>
                <w:rFonts w:ascii="宋体" w:hAnsi="宋体"/>
                <w:color w:val="000000"/>
                <w:kern w:val="0"/>
                <w:sz w:val="18"/>
                <w:szCs w:val="18"/>
              </w:rPr>
            </w:pPr>
            <w:r>
              <w:rPr>
                <w:rFonts w:ascii="宋体" w:hAnsi="宋体"/>
                <w:color w:val="000000"/>
                <w:kern w:val="0"/>
                <w:sz w:val="18"/>
                <w:szCs w:val="18"/>
              </w:rPr>
              <w:t>指标</w:t>
            </w:r>
          </w:p>
        </w:tc>
        <w:tc>
          <w:tcPr>
            <w:tcW w:w="1444"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预算指标值(包含数字及文字描述)</w:t>
            </w:r>
          </w:p>
        </w:tc>
        <w:tc>
          <w:tcPr>
            <w:tcW w:w="965" w:type="dxa"/>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预算指标值执行结果(包含数字及文字描述)</w:t>
            </w:r>
          </w:p>
        </w:tc>
        <w:tc>
          <w:tcPr>
            <w:tcW w:w="2066" w:type="dxa"/>
            <w:gridSpan w:val="3"/>
            <w:noWrap/>
            <w:vAlign w:val="center"/>
          </w:tcPr>
          <w:p>
            <w:pPr>
              <w:widowControl/>
              <w:jc w:val="center"/>
              <w:rPr>
                <w:rFonts w:ascii="宋体" w:hAnsi="宋体"/>
                <w:color w:val="000000"/>
                <w:kern w:val="0"/>
                <w:sz w:val="18"/>
                <w:szCs w:val="18"/>
              </w:rPr>
            </w:pPr>
            <w:r>
              <w:rPr>
                <w:rFonts w:ascii="宋体" w:hAnsi="宋体"/>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restart"/>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项目</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完成</w:t>
            </w:r>
          </w:p>
        </w:tc>
        <w:tc>
          <w:tcPr>
            <w:tcW w:w="1317" w:type="dxa"/>
            <w:gridSpan w:val="2"/>
            <w:vMerge w:val="restart"/>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数量</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指标</w:t>
            </w:r>
          </w:p>
        </w:tc>
        <w:tc>
          <w:tcPr>
            <w:tcW w:w="1449" w:type="dxa"/>
            <w:gridSpan w:val="2"/>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联合制播电视新闻（条）</w:t>
            </w:r>
          </w:p>
        </w:tc>
        <w:tc>
          <w:tcPr>
            <w:tcW w:w="1444" w:type="dxa"/>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＝12</w:t>
            </w:r>
          </w:p>
        </w:tc>
        <w:tc>
          <w:tcPr>
            <w:tcW w:w="965" w:type="dxa"/>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14</w:t>
            </w:r>
          </w:p>
        </w:tc>
        <w:tc>
          <w:tcPr>
            <w:tcW w:w="2066" w:type="dxa"/>
            <w:gridSpan w:val="3"/>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ign w:val="center"/>
          </w:tcPr>
          <w:p>
            <w:pPr>
              <w:widowControl/>
              <w:jc w:val="center"/>
              <w:rPr>
                <w:rFonts w:hint="eastAsia" w:ascii="宋体" w:hAnsi="宋体"/>
                <w:color w:val="000000"/>
                <w:kern w:val="0"/>
                <w:sz w:val="18"/>
                <w:szCs w:val="18"/>
              </w:rPr>
            </w:pPr>
          </w:p>
        </w:tc>
        <w:tc>
          <w:tcPr>
            <w:tcW w:w="1317" w:type="dxa"/>
            <w:gridSpan w:val="2"/>
            <w:vMerge w:val="continue"/>
            <w:noWrap/>
            <w:vAlign w:val="center"/>
          </w:tcPr>
          <w:p>
            <w:pPr>
              <w:widowControl/>
              <w:jc w:val="center"/>
              <w:rPr>
                <w:rFonts w:hint="eastAsia" w:ascii="宋体" w:hAnsi="宋体"/>
                <w:color w:val="000000"/>
                <w:kern w:val="0"/>
                <w:sz w:val="18"/>
                <w:szCs w:val="18"/>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党风廉政建设专项整治、专项督查次数</w:t>
            </w:r>
          </w:p>
        </w:tc>
        <w:tc>
          <w:tcPr>
            <w:tcW w:w="1444" w:type="dxa"/>
            <w:noWrap/>
            <w:vAlign w:val="center"/>
          </w:tcPr>
          <w:p>
            <w:pPr>
              <w:keepNext w:val="0"/>
              <w:keepLines w:val="0"/>
              <w:widowControl/>
              <w:suppressLineNumbers w:val="0"/>
              <w:jc w:val="center"/>
              <w:textAlignment w:val="center"/>
              <w:rPr>
                <w:rFonts w:hint="default" w:ascii="宋体" w:hAnsi="宋体" w:eastAsia="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965" w:type="dxa"/>
            <w:noWrap/>
            <w:vAlign w:val="center"/>
          </w:tcPr>
          <w:p>
            <w:pPr>
              <w:widowControl/>
              <w:jc w:val="center"/>
              <w:rPr>
                <w:rFonts w:hint="default"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13</w:t>
            </w:r>
          </w:p>
        </w:tc>
        <w:tc>
          <w:tcPr>
            <w:tcW w:w="2066" w:type="dxa"/>
            <w:gridSpan w:val="3"/>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ign w:val="center"/>
          </w:tcPr>
          <w:p>
            <w:pPr>
              <w:widowControl/>
              <w:jc w:val="center"/>
              <w:rPr>
                <w:rFonts w:hint="eastAsia" w:ascii="宋体" w:hAnsi="宋体"/>
                <w:color w:val="000000"/>
                <w:kern w:val="0"/>
                <w:sz w:val="18"/>
                <w:szCs w:val="18"/>
              </w:rPr>
            </w:pPr>
          </w:p>
        </w:tc>
        <w:tc>
          <w:tcPr>
            <w:tcW w:w="1317" w:type="dxa"/>
            <w:gridSpan w:val="2"/>
            <w:vMerge w:val="continue"/>
            <w:noWrap/>
            <w:vAlign w:val="center"/>
          </w:tcPr>
          <w:p>
            <w:pPr>
              <w:widowControl/>
              <w:jc w:val="center"/>
              <w:rPr>
                <w:rFonts w:hint="eastAsia" w:ascii="宋体" w:hAnsi="宋体"/>
                <w:color w:val="000000"/>
                <w:kern w:val="0"/>
                <w:sz w:val="18"/>
                <w:szCs w:val="18"/>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拍摄和制作党风廉政建设和反腐败工作综述片</w:t>
            </w:r>
          </w:p>
        </w:tc>
        <w:tc>
          <w:tcPr>
            <w:tcW w:w="1444" w:type="dxa"/>
            <w:noWrap/>
            <w:vAlign w:val="center"/>
          </w:tcPr>
          <w:p>
            <w:pPr>
              <w:keepNext w:val="0"/>
              <w:keepLines w:val="0"/>
              <w:widowControl/>
              <w:suppressLineNumbers w:val="0"/>
              <w:jc w:val="center"/>
              <w:textAlignment w:val="center"/>
              <w:rPr>
                <w:rFonts w:hint="eastAsia" w:ascii="宋体" w:hAnsi="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965" w:type="dxa"/>
            <w:noWrap/>
            <w:vAlign w:val="center"/>
          </w:tcPr>
          <w:p>
            <w:pPr>
              <w:widowControl/>
              <w:jc w:val="center"/>
              <w:rPr>
                <w:rFonts w:hint="eastAsia" w:ascii="宋体" w:hAnsi="宋体" w:eastAsia="宋体"/>
                <w:color w:val="000000"/>
                <w:kern w:val="0"/>
                <w:sz w:val="18"/>
                <w:szCs w:val="18"/>
                <w:lang w:val="en-US" w:eastAsia="zh-CN" w:bidi="ar-SA"/>
              </w:rPr>
            </w:pPr>
            <w:r>
              <w:rPr>
                <w:rFonts w:hint="eastAsia" w:ascii="宋体" w:hAnsi="宋体"/>
                <w:color w:val="000000"/>
                <w:kern w:val="0"/>
                <w:sz w:val="18"/>
                <w:szCs w:val="18"/>
                <w:lang w:val="en-US" w:eastAsia="zh-CN"/>
              </w:rPr>
              <w:t>1</w:t>
            </w:r>
          </w:p>
        </w:tc>
        <w:tc>
          <w:tcPr>
            <w:tcW w:w="2066" w:type="dxa"/>
            <w:gridSpan w:val="3"/>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vMerge w:val="continue"/>
            <w:noWrap w:val="0"/>
            <w:vAlign w:val="center"/>
          </w:tcPr>
          <w:p>
            <w:pPr>
              <w:widowControl/>
              <w:jc w:val="center"/>
              <w:rPr>
                <w:rFonts w:hint="eastAsia" w:ascii="宋体" w:hAnsi="宋体"/>
                <w:color w:val="000000"/>
                <w:kern w:val="0"/>
                <w:sz w:val="18"/>
                <w:szCs w:val="18"/>
              </w:rPr>
            </w:pPr>
          </w:p>
        </w:tc>
        <w:tc>
          <w:tcPr>
            <w:tcW w:w="1449" w:type="dxa"/>
            <w:gridSpan w:val="2"/>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宣传产品（个）</w:t>
            </w:r>
          </w:p>
        </w:tc>
        <w:tc>
          <w:tcPr>
            <w:tcW w:w="1444"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65" w:type="dxa"/>
            <w:noWrap/>
            <w:vAlign w:val="center"/>
          </w:tcPr>
          <w:p>
            <w:pPr>
              <w:widowControl/>
              <w:jc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1</w:t>
            </w:r>
          </w:p>
        </w:tc>
        <w:tc>
          <w:tcPr>
            <w:tcW w:w="2066" w:type="dxa"/>
            <w:gridSpan w:val="3"/>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vMerge w:val="continue"/>
            <w:noWrap w:val="0"/>
            <w:vAlign w:val="center"/>
          </w:tcPr>
          <w:p>
            <w:pPr>
              <w:widowControl/>
              <w:jc w:val="center"/>
              <w:rPr>
                <w:rFonts w:hint="eastAsia" w:ascii="宋体" w:hAnsi="宋体"/>
                <w:color w:val="000000"/>
                <w:kern w:val="0"/>
                <w:sz w:val="18"/>
                <w:szCs w:val="18"/>
              </w:rPr>
            </w:pPr>
          </w:p>
        </w:tc>
        <w:tc>
          <w:tcPr>
            <w:tcW w:w="1449" w:type="dxa"/>
            <w:gridSpan w:val="2"/>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创作警示教育短剧、微视频（部）</w:t>
            </w:r>
          </w:p>
        </w:tc>
        <w:tc>
          <w:tcPr>
            <w:tcW w:w="1444" w:type="dxa"/>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＝1</w:t>
            </w:r>
          </w:p>
        </w:tc>
        <w:tc>
          <w:tcPr>
            <w:tcW w:w="965" w:type="dxa"/>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1</w:t>
            </w:r>
          </w:p>
        </w:tc>
        <w:tc>
          <w:tcPr>
            <w:tcW w:w="2066" w:type="dxa"/>
            <w:gridSpan w:val="3"/>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vMerge w:val="restart"/>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质量</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指标</w:t>
            </w:r>
          </w:p>
        </w:tc>
        <w:tc>
          <w:tcPr>
            <w:tcW w:w="1449" w:type="dxa"/>
            <w:gridSpan w:val="2"/>
            <w:tcBorders>
              <w:bottom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宣传稿件、宣传产品质量和采用率</w:t>
            </w:r>
          </w:p>
        </w:tc>
        <w:tc>
          <w:tcPr>
            <w:tcW w:w="1444" w:type="dxa"/>
            <w:tcBorders>
              <w:bottom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≥95</w:t>
            </w:r>
          </w:p>
        </w:tc>
        <w:tc>
          <w:tcPr>
            <w:tcW w:w="965" w:type="dxa"/>
            <w:tcBorders>
              <w:bottom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95</w:t>
            </w:r>
          </w:p>
        </w:tc>
        <w:tc>
          <w:tcPr>
            <w:tcW w:w="2066" w:type="dxa"/>
            <w:gridSpan w:val="3"/>
            <w:tcBorders>
              <w:bottom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vMerge w:val="continue"/>
            <w:tcBorders>
              <w:right w:val="single" w:color="auto" w:sz="4" w:space="0"/>
            </w:tcBorders>
            <w:noWrap w:val="0"/>
            <w:vAlign w:val="center"/>
          </w:tcPr>
          <w:p>
            <w:pPr>
              <w:widowControl/>
              <w:jc w:val="center"/>
              <w:rPr>
                <w:rFonts w:hint="eastAsia" w:ascii="宋体" w:hAnsi="宋体"/>
                <w:color w:val="000000"/>
                <w:kern w:val="0"/>
                <w:sz w:val="18"/>
                <w:szCs w:val="18"/>
              </w:rPr>
            </w:pP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18"/>
                <w:szCs w:val="18"/>
                <w:lang w:val="en-US"/>
              </w:rPr>
            </w:pPr>
            <w:r>
              <w:rPr>
                <w:rFonts w:hint="eastAsia" w:ascii="宋体" w:hAnsi="宋体" w:eastAsia="宋体" w:cs="宋体"/>
                <w:i w:val="0"/>
                <w:iCs w:val="0"/>
                <w:color w:val="000000"/>
                <w:kern w:val="0"/>
                <w:sz w:val="18"/>
                <w:szCs w:val="18"/>
                <w:u w:val="none"/>
                <w:lang w:val="en-US" w:eastAsia="zh-CN" w:bidi="ar"/>
              </w:rPr>
              <w:t>专项督查及整治完成率%</w:t>
            </w:r>
          </w:p>
        </w:tc>
        <w:tc>
          <w:tcPr>
            <w:tcW w:w="14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≥90</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时效</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完成时间</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1年</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1年</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sz w:val="18"/>
                <w:szCs w:val="18"/>
              </w:rPr>
            </w:pPr>
            <w:r>
              <w:rPr>
                <w:rFonts w:hint="eastAsia" w:ascii="宋体" w:hAnsi="宋体"/>
                <w:sz w:val="18"/>
                <w:szCs w:val="18"/>
              </w:rPr>
              <w:t>成本</w:t>
            </w:r>
          </w:p>
          <w:p>
            <w:pPr>
              <w:widowControl/>
              <w:jc w:val="center"/>
              <w:rPr>
                <w:rFonts w:hint="eastAsia" w:ascii="宋体" w:hAnsi="宋体"/>
                <w:sz w:val="18"/>
                <w:szCs w:val="18"/>
              </w:rPr>
            </w:pPr>
            <w:r>
              <w:rPr>
                <w:rFonts w:hint="eastAsia" w:ascii="宋体" w:hAnsi="宋体"/>
                <w:sz w:val="18"/>
                <w:szCs w:val="18"/>
              </w:rPr>
              <w:t>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38"/>
                <w:lang w:val="en-US" w:eastAsia="zh-CN" w:bidi="ar"/>
              </w:rPr>
              <w:t>经济成本指标</w:t>
            </w:r>
          </w:p>
        </w:tc>
        <w:tc>
          <w:tcPr>
            <w:tcW w:w="14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项目支出成本率≥0</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olor w:val="000000"/>
                <w:kern w:val="0"/>
                <w:sz w:val="18"/>
                <w:szCs w:val="18"/>
                <w:lang w:val="en-US" w:eastAsia="zh-CN"/>
              </w:rPr>
            </w:pPr>
            <w:r>
              <w:rPr>
                <w:rFonts w:hint="eastAsia" w:ascii="宋体" w:hAnsi="宋体"/>
                <w:color w:val="000000"/>
                <w:kern w:val="0"/>
                <w:sz w:val="18"/>
                <w:szCs w:val="18"/>
                <w:lang w:val="en-US" w:eastAsia="zh-CN"/>
              </w:rPr>
              <w:t>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0" w:type="dxa"/>
            <w:vMerge w:val="continue"/>
            <w:noWrap w:val="0"/>
            <w:vAlign w:val="center"/>
          </w:tcPr>
          <w:p>
            <w:pPr>
              <w:jc w:val="center"/>
              <w:rPr>
                <w:rFonts w:ascii="宋体" w:hAnsi="宋体"/>
                <w:color w:val="000000"/>
                <w:kern w:val="0"/>
                <w:sz w:val="18"/>
                <w:szCs w:val="18"/>
              </w:rPr>
            </w:pPr>
          </w:p>
        </w:tc>
        <w:tc>
          <w:tcPr>
            <w:tcW w:w="847" w:type="dxa"/>
            <w:vMerge w:val="continue"/>
            <w:noWrap w:val="0"/>
            <w:vAlign w:val="center"/>
          </w:tcPr>
          <w:p>
            <w:pPr>
              <w:widowControl/>
              <w:jc w:val="center"/>
              <w:rPr>
                <w:rFonts w:hint="eastAsia" w:ascii="宋体" w:hAnsi="宋体"/>
                <w:color w:val="000000"/>
                <w:kern w:val="0"/>
                <w:sz w:val="18"/>
                <w:szCs w:val="18"/>
              </w:rPr>
            </w:pP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生态效益指标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可持续影响指标</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rPr>
              <w:t>提升我县党风廉政建设和反腐败工作影响力</w:t>
            </w:r>
            <w:r>
              <w:rPr>
                <w:rFonts w:hint="eastAsia" w:ascii="宋体" w:hAnsi="宋体"/>
                <w:color w:val="000000"/>
                <w:kern w:val="0"/>
                <w:sz w:val="18"/>
                <w:szCs w:val="18"/>
                <w:lang w:val="en-US" w:eastAsia="zh-CN"/>
              </w:rPr>
              <w:t>好</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18"/>
                <w:szCs w:val="18"/>
                <w:lang w:eastAsia="zh-CN"/>
              </w:rPr>
            </w:pPr>
            <w:r>
              <w:rPr>
                <w:rFonts w:hint="eastAsia" w:ascii="宋体" w:hAnsi="宋体"/>
                <w:color w:val="000000"/>
                <w:kern w:val="0"/>
                <w:sz w:val="18"/>
                <w:szCs w:val="18"/>
                <w:lang w:val="en-US" w:eastAsia="zh-CN"/>
              </w:rPr>
              <w:t>好</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90" w:type="dxa"/>
            <w:vMerge w:val="continue"/>
            <w:noWrap w:val="0"/>
            <w:vAlign w:val="center"/>
          </w:tcPr>
          <w:p>
            <w:pPr>
              <w:widowControl/>
              <w:jc w:val="center"/>
              <w:rPr>
                <w:rFonts w:ascii="宋体" w:hAnsi="宋体"/>
                <w:color w:val="000000"/>
                <w:kern w:val="0"/>
                <w:sz w:val="18"/>
                <w:szCs w:val="18"/>
              </w:rPr>
            </w:pPr>
          </w:p>
        </w:tc>
        <w:tc>
          <w:tcPr>
            <w:tcW w:w="847" w:type="dxa"/>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满意度</w:t>
            </w:r>
          </w:p>
          <w:p>
            <w:pPr>
              <w:widowControl/>
              <w:jc w:val="center"/>
              <w:rPr>
                <w:rFonts w:hint="eastAsia" w:ascii="宋体" w:hAnsi="宋体"/>
                <w:color w:val="000000"/>
                <w:kern w:val="0"/>
                <w:sz w:val="18"/>
                <w:szCs w:val="18"/>
              </w:rPr>
            </w:pPr>
            <w:r>
              <w:rPr>
                <w:rFonts w:hint="eastAsia" w:ascii="宋体" w:hAnsi="宋体"/>
                <w:color w:val="000000"/>
                <w:kern w:val="0"/>
                <w:sz w:val="18"/>
                <w:szCs w:val="18"/>
              </w:rPr>
              <w:t>指标</w:t>
            </w: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满意度指标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人民群众满意度%</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≧90</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eastAsia="宋体"/>
                <w:color w:val="000000"/>
                <w:kern w:val="0"/>
                <w:sz w:val="18"/>
                <w:szCs w:val="18"/>
                <w:lang w:val="en-US" w:eastAsia="zh-CN"/>
              </w:rPr>
              <w:t>95</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无</w:t>
            </w:r>
          </w:p>
        </w:tc>
      </w:tr>
    </w:tbl>
    <w:p>
      <w:pPr>
        <w:rPr>
          <w:rFonts w:hint="default"/>
          <w:lang w:val="en-US" w:eastAsia="zh-CN"/>
        </w:rPr>
      </w:pPr>
    </w:p>
    <w:p>
      <w:pPr>
        <w:spacing w:line="600" w:lineRule="exact"/>
        <w:jc w:val="center"/>
        <w:outlineLvl w:val="9"/>
        <w:rPr>
          <w:rFonts w:hint="eastAsia" w:ascii="黑体" w:hAnsi="黑体" w:eastAsia="黑体"/>
          <w:sz w:val="44"/>
          <w:szCs w:val="44"/>
        </w:rPr>
      </w:pPr>
    </w:p>
    <w:p>
      <w:pPr>
        <w:pStyle w:val="2"/>
        <w:rPr>
          <w:rFonts w:hint="eastAsia"/>
        </w:rPr>
      </w:pPr>
    </w:p>
    <w:p>
      <w:pPr>
        <w:spacing w:line="660" w:lineRule="exact"/>
        <w:jc w:val="left"/>
        <w:outlineLvl w:val="1"/>
        <w:rPr>
          <w:rFonts w:hint="eastAsia" w:ascii="黑体" w:hAnsi="黑体" w:eastAsia="黑体" w:cs="黑体"/>
          <w:sz w:val="32"/>
          <w:szCs w:val="32"/>
          <w:lang w:val="en-US" w:eastAsia="zh-CN"/>
        </w:rPr>
      </w:pPr>
      <w:bookmarkStart w:id="67" w:name="_Toc24542"/>
      <w:r>
        <w:rPr>
          <w:rFonts w:hint="eastAsia" w:ascii="黑体" w:hAnsi="黑体" w:eastAsia="黑体" w:cs="黑体"/>
          <w:sz w:val="32"/>
          <w:szCs w:val="32"/>
          <w:lang w:val="en-US" w:eastAsia="zh-CN"/>
        </w:rPr>
        <w:t>附件4</w:t>
      </w:r>
      <w:bookmarkEnd w:id="67"/>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年度安岳县项目支出绩效自评报告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楷体简体" w:cs="方正楷体简体"/>
          <w:sz w:val="32"/>
          <w:szCs w:val="32"/>
        </w:rPr>
      </w:pPr>
      <w:r>
        <w:rPr>
          <w:rFonts w:hint="eastAsia" w:ascii="宋体" w:hAnsi="宋体" w:eastAsia="方正楷体_GBK" w:cs="方正楷体_GBK"/>
          <w:sz w:val="32"/>
          <w:szCs w:val="32"/>
        </w:rPr>
        <w:t>（</w:t>
      </w:r>
      <w:r>
        <w:rPr>
          <w:rFonts w:hint="eastAsia" w:ascii="宋体" w:hAnsi="宋体" w:eastAsia="方正楷体_GBK" w:cs="方正楷体_GBK"/>
          <w:b/>
          <w:bCs/>
          <w:sz w:val="32"/>
          <w:szCs w:val="32"/>
          <w:lang w:val="en-US" w:eastAsia="zh-CN"/>
        </w:rPr>
        <w:t>县委</w:t>
      </w:r>
      <w:r>
        <w:rPr>
          <w:rFonts w:hint="eastAsia" w:ascii="宋体" w:hAnsi="宋体" w:eastAsia="方正楷体_GBK" w:cs="方正楷体_GBK"/>
          <w:b/>
          <w:bCs/>
          <w:sz w:val="32"/>
          <w:szCs w:val="32"/>
        </w:rPr>
        <w:t>巡察</w:t>
      </w:r>
      <w:r>
        <w:rPr>
          <w:rFonts w:hint="eastAsia" w:ascii="宋体" w:hAnsi="宋体" w:eastAsia="方正楷体_GBK" w:cs="方正楷体_GBK"/>
          <w:b/>
          <w:bCs/>
          <w:sz w:val="32"/>
          <w:szCs w:val="32"/>
          <w:lang w:val="en-US" w:eastAsia="zh-CN"/>
        </w:rPr>
        <w:t>专项</w:t>
      </w:r>
      <w:r>
        <w:rPr>
          <w:rFonts w:hint="eastAsia" w:ascii="宋体" w:hAnsi="宋体" w:eastAsia="方正楷体_GBK" w:cs="方正楷体_GBK"/>
          <w:b/>
          <w:bCs/>
          <w:sz w:val="32"/>
          <w:szCs w:val="32"/>
        </w:rPr>
        <w:t>经费</w:t>
      </w:r>
      <w:r>
        <w:rPr>
          <w:rFonts w:hint="eastAsia" w:ascii="宋体" w:hAnsi="宋体"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（一）概况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1.立项背景及目的</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立项背景</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2023年，在安岳县委和市委巡察办的领导指导下，安岳县委巡察工作始终坚持政治巡察定位，全面贯彻巡视工作方针，</w:t>
      </w:r>
      <w:r>
        <w:rPr>
          <w:rFonts w:hint="eastAsia" w:ascii="宋体" w:hAnsi="宋体" w:eastAsia="方正仿宋简体" w:cs="方正仿宋简体"/>
          <w:sz w:val="32"/>
          <w:szCs w:val="32"/>
        </w:rPr>
        <w:t>认真落实党中央重大决策部署和省委、省委巡视办、市委、市委巡察办部署要求，努力</w:t>
      </w:r>
      <w:r>
        <w:rPr>
          <w:rFonts w:hint="eastAsia" w:ascii="宋体" w:hAnsi="宋体" w:eastAsia="方正仿宋_GBK" w:cs="方正仿宋_GBK"/>
          <w:sz w:val="32"/>
          <w:szCs w:val="32"/>
          <w:lang w:val="zh-CN"/>
        </w:rPr>
        <w:t>推动巡察工作向深拓展、向专发力、向下延伸</w:t>
      </w:r>
      <w:r>
        <w:rPr>
          <w:rFonts w:hint="eastAsia" w:ascii="宋体" w:hAnsi="宋体" w:eastAsia="方正仿宋简体" w:cs="方正仿宋简体"/>
          <w:sz w:val="32"/>
          <w:szCs w:val="32"/>
        </w:rPr>
        <w:t>，为全县经济社会高质量发展提供坚强政治纪律保障</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目的：</w:t>
      </w:r>
      <w:r>
        <w:rPr>
          <w:rFonts w:hint="eastAsia" w:ascii="宋体" w:hAnsi="宋体" w:eastAsia="方正仿宋_GBK" w:cs="方正仿宋_GBK"/>
          <w:sz w:val="32"/>
          <w:szCs w:val="32"/>
        </w:rPr>
        <w:t>进一步推进巡察工作的制度化、规范化和程序化建设，充分发挥巡察干部在巡察工作全局中的重要作用，调动巡察干部履行巡察职能的积极性，充分发挥巡察利剑的震慑作用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推动全面从严治党向纵深发展。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2.预算资金来源及使用情况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（1）项目资金来源情况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年县财政安排专项资金</w:t>
      </w:r>
      <w:r>
        <w:rPr>
          <w:rFonts w:hint="eastAsia" w:ascii="宋体" w:hAnsi="宋体" w:eastAsia="方正仿宋_GBK" w:cs="方正仿宋_GBK"/>
          <w:sz w:val="32"/>
          <w:szCs w:val="32"/>
          <w:lang w:val="en-US" w:eastAsia="zh-CN"/>
        </w:rPr>
        <w:t>104.12</w:t>
      </w:r>
      <w:r>
        <w:rPr>
          <w:rFonts w:hint="eastAsia" w:ascii="宋体" w:hAnsi="宋体" w:eastAsia="方正仿宋_GBK" w:cs="方正仿宋_GBK"/>
          <w:sz w:val="32"/>
          <w:szCs w:val="32"/>
        </w:rPr>
        <w:t>万元，资金主要</w:t>
      </w:r>
      <w:r>
        <w:rPr>
          <w:rFonts w:hint="eastAsia" w:ascii="宋体" w:hAnsi="宋体" w:eastAsia="方正仿宋_GBK" w:cs="方正仿宋_GBK"/>
          <w:sz w:val="32"/>
          <w:szCs w:val="32"/>
          <w:lang w:val="en-US" w:eastAsia="zh-CN"/>
        </w:rPr>
        <w:t>来</w:t>
      </w:r>
      <w:r>
        <w:rPr>
          <w:rFonts w:hint="eastAsia" w:ascii="宋体" w:hAnsi="宋体" w:eastAsia="方正仿宋_GBK" w:cs="方正仿宋_GBK"/>
          <w:sz w:val="32"/>
          <w:szCs w:val="32"/>
        </w:rPr>
        <w:t>源于财政拨款，无其他资金投入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其中：一般公共预算财政拨款104.12万元，政府基金预算财政拨款0万元。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（2）项目资金</w:t>
      </w:r>
      <w:r>
        <w:rPr>
          <w:rFonts w:hint="eastAsia" w:ascii="宋体" w:hAnsi="宋体" w:eastAsia="方正仿宋_GBK" w:cs="方正仿宋_GBK"/>
          <w:sz w:val="32"/>
          <w:szCs w:val="32"/>
          <w:lang w:val="en-US" w:eastAsia="zh-CN"/>
        </w:rPr>
        <w:t>使用</w:t>
      </w:r>
      <w:r>
        <w:rPr>
          <w:rFonts w:hint="eastAsia" w:ascii="宋体" w:hAnsi="宋体" w:eastAsia="方正仿宋_GBK" w:cs="方正仿宋_GBK"/>
          <w:sz w:val="32"/>
          <w:szCs w:val="32"/>
        </w:rPr>
        <w:t>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cs="宋体"/>
          <w:color w:val="000000"/>
          <w:sz w:val="32"/>
          <w:szCs w:val="32"/>
        </w:rPr>
        <w:t>202</w:t>
      </w:r>
      <w:r>
        <w:rPr>
          <w:rFonts w:hint="eastAsia" w:ascii="宋体" w:hAnsi="宋体" w:cs="宋体"/>
          <w:color w:val="000000"/>
          <w:sz w:val="32"/>
          <w:szCs w:val="32"/>
          <w:lang w:val="en-US" w:eastAsia="zh-CN"/>
        </w:rPr>
        <w:t>3</w:t>
      </w:r>
      <w:r>
        <w:rPr>
          <w:rFonts w:hint="eastAsia" w:ascii="宋体" w:hAnsi="宋体" w:eastAsia="方正仿宋_GBK" w:cs="方正仿宋_GBK"/>
          <w:color w:val="000000"/>
          <w:sz w:val="32"/>
          <w:szCs w:val="32"/>
        </w:rPr>
        <w:t>年</w:t>
      </w:r>
      <w:r>
        <w:rPr>
          <w:rFonts w:hint="eastAsia" w:ascii="宋体" w:hAnsi="宋体" w:eastAsia="方正仿宋_GBK" w:cs="方正仿宋_GBK"/>
          <w:color w:val="000000"/>
          <w:sz w:val="32"/>
          <w:szCs w:val="32"/>
          <w:lang w:val="en-US" w:eastAsia="zh-CN"/>
        </w:rPr>
        <w:t>财政安排巡察专项</w:t>
      </w:r>
      <w:r>
        <w:rPr>
          <w:rFonts w:hint="eastAsia" w:ascii="宋体" w:hAnsi="宋体" w:eastAsia="方正仿宋_GBK" w:cs="方正仿宋_GBK"/>
          <w:color w:val="000000"/>
          <w:sz w:val="32"/>
          <w:szCs w:val="32"/>
        </w:rPr>
        <w:t>经费</w:t>
      </w:r>
      <w:r>
        <w:rPr>
          <w:rFonts w:hint="eastAsia" w:ascii="宋体" w:hAnsi="宋体" w:eastAsia="方正仿宋_GBK" w:cs="方正仿宋_GBK"/>
          <w:sz w:val="32"/>
          <w:szCs w:val="32"/>
          <w:lang w:val="en-US" w:eastAsia="zh-CN"/>
        </w:rPr>
        <w:t>104.12</w:t>
      </w:r>
      <w:r>
        <w:rPr>
          <w:rFonts w:hint="eastAsia" w:ascii="宋体" w:hAnsi="宋体" w:eastAsia="方正仿宋_GBK" w:cs="方正仿宋_GBK"/>
          <w:color w:val="000000"/>
          <w:sz w:val="32"/>
          <w:szCs w:val="32"/>
        </w:rPr>
        <w:t>万元</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全部</w:t>
      </w:r>
      <w:r>
        <w:rPr>
          <w:rFonts w:hint="eastAsia" w:ascii="宋体" w:hAnsi="宋体" w:eastAsia="方正仿宋_GBK" w:cs="方正仿宋_GBK"/>
          <w:color w:val="000000"/>
          <w:sz w:val="32"/>
          <w:szCs w:val="32"/>
        </w:rPr>
        <w:t>用于</w:t>
      </w:r>
      <w:r>
        <w:rPr>
          <w:rFonts w:hint="eastAsia" w:ascii="宋体" w:hAnsi="宋体" w:eastAsia="方正仿宋_GBK" w:cs="方正仿宋_GBK"/>
          <w:color w:val="000000"/>
          <w:sz w:val="32"/>
          <w:szCs w:val="32"/>
          <w:lang w:val="en-US" w:eastAsia="zh-CN"/>
        </w:rPr>
        <w:t>开展</w:t>
      </w:r>
      <w:r>
        <w:rPr>
          <w:rFonts w:hint="eastAsia" w:ascii="宋体" w:hAnsi="宋体" w:eastAsia="方正仿宋_GBK" w:cs="方正仿宋_GBK"/>
          <w:sz w:val="32"/>
          <w:szCs w:val="32"/>
        </w:rPr>
        <w:t>巡察</w:t>
      </w:r>
      <w:r>
        <w:rPr>
          <w:rFonts w:hint="eastAsia" w:ascii="宋体" w:hAnsi="宋体" w:eastAsia="方正仿宋_GBK" w:cs="方正仿宋_GBK"/>
          <w:sz w:val="32"/>
          <w:szCs w:val="32"/>
          <w:lang w:val="en-US" w:eastAsia="zh-CN"/>
        </w:rPr>
        <w:t>工作所产生</w:t>
      </w:r>
      <w:r>
        <w:rPr>
          <w:rFonts w:hint="eastAsia" w:ascii="宋体" w:hAnsi="宋体" w:eastAsia="方正仿宋_GBK" w:cs="方正仿宋_GBK"/>
          <w:sz w:val="32"/>
          <w:szCs w:val="32"/>
        </w:rPr>
        <w:t>的各项费用，</w:t>
      </w:r>
      <w:r>
        <w:rPr>
          <w:rFonts w:hint="eastAsia" w:ascii="宋体" w:hAnsi="宋体" w:eastAsia="方正仿宋_GBK" w:cs="方正仿宋_GBK"/>
          <w:color w:val="000000"/>
          <w:sz w:val="32"/>
          <w:szCs w:val="32"/>
        </w:rPr>
        <w:t>保证做到专款专用，</w:t>
      </w:r>
      <w:r>
        <w:rPr>
          <w:rFonts w:hint="eastAsia" w:ascii="宋体" w:hAnsi="宋体" w:eastAsia="方正仿宋_GBK" w:cs="方正仿宋_GBK"/>
          <w:color w:val="000000"/>
          <w:sz w:val="32"/>
          <w:szCs w:val="32"/>
          <w:lang w:val="en-US" w:eastAsia="zh-CN"/>
        </w:rPr>
        <w:t>主要</w:t>
      </w:r>
      <w:r>
        <w:rPr>
          <w:rFonts w:hint="eastAsia" w:ascii="宋体" w:hAnsi="宋体" w:eastAsia="方正仿宋_GBK" w:cs="方正仿宋_GBK"/>
          <w:sz w:val="32"/>
          <w:szCs w:val="32"/>
        </w:rPr>
        <w:t>包括</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办公费、住宿</w:t>
      </w:r>
      <w:r>
        <w:rPr>
          <w:rFonts w:hint="eastAsia" w:ascii="宋体" w:hAnsi="宋体" w:eastAsia="方正仿宋_GBK" w:cs="方正仿宋_GBK"/>
          <w:sz w:val="32"/>
          <w:szCs w:val="32"/>
        </w:rPr>
        <w:t>费、伙食费、培训费、交通费以及其他费用</w:t>
      </w:r>
      <w:r>
        <w:rPr>
          <w:rFonts w:hint="eastAsia" w:ascii="宋体" w:hAnsi="宋体" w:eastAsia="方正仿宋_GBK" w:cs="方正仿宋_GBK"/>
          <w:sz w:val="32"/>
          <w:szCs w:val="32"/>
          <w:lang w:eastAsia="zh-CN"/>
        </w:rPr>
        <w:t>。</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color w:val="000000"/>
          <w:sz w:val="32"/>
          <w:szCs w:val="32"/>
          <w:lang w:val="en-US" w:eastAsia="zh-CN"/>
        </w:rPr>
        <w:t>本单位</w:t>
      </w:r>
      <w:r>
        <w:rPr>
          <w:rFonts w:hint="eastAsia" w:ascii="宋体" w:hAnsi="宋体" w:eastAsia="方正仿宋_GBK" w:cs="方正仿宋_GBK"/>
          <w:color w:val="000000"/>
          <w:sz w:val="32"/>
          <w:szCs w:val="32"/>
        </w:rPr>
        <w:t>按</w:t>
      </w:r>
      <w:r>
        <w:rPr>
          <w:rFonts w:hint="eastAsia" w:ascii="宋体" w:hAnsi="宋体" w:eastAsia="方正仿宋_GBK" w:cs="方正仿宋_GBK"/>
          <w:color w:val="000000"/>
          <w:sz w:val="32"/>
          <w:szCs w:val="32"/>
          <w:lang w:val="en-US" w:eastAsia="zh-CN"/>
        </w:rPr>
        <w:t>项目实施进度在预算管理一体化系统编报用款计划</w:t>
      </w:r>
      <w:r>
        <w:rPr>
          <w:rFonts w:hint="eastAsia" w:ascii="宋体" w:hAnsi="宋体" w:eastAsia="方正仿宋_GBK" w:cs="方正仿宋_GBK"/>
          <w:color w:val="000000"/>
          <w:sz w:val="32"/>
          <w:szCs w:val="32"/>
        </w:rPr>
        <w:t>，县财政局</w:t>
      </w:r>
      <w:r>
        <w:rPr>
          <w:rFonts w:hint="eastAsia" w:ascii="宋体" w:hAnsi="宋体" w:eastAsia="方正仿宋_GBK" w:cs="方正仿宋_GBK"/>
          <w:color w:val="000000"/>
          <w:sz w:val="32"/>
          <w:szCs w:val="32"/>
          <w:lang w:val="en-US" w:eastAsia="zh-CN"/>
        </w:rPr>
        <w:t>予以审核</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本</w:t>
      </w:r>
      <w:r>
        <w:rPr>
          <w:rFonts w:hint="eastAsia" w:ascii="宋体" w:hAnsi="宋体" w:eastAsia="方正仿宋_GBK" w:cs="方正仿宋_GBK"/>
          <w:color w:val="000000"/>
          <w:sz w:val="32"/>
          <w:szCs w:val="32"/>
        </w:rPr>
        <w:t>单位</w:t>
      </w:r>
      <w:r>
        <w:rPr>
          <w:rFonts w:hint="eastAsia" w:ascii="宋体" w:hAnsi="宋体" w:eastAsia="方正仿宋_GBK" w:cs="方正仿宋_GBK"/>
          <w:color w:val="000000"/>
          <w:sz w:val="32"/>
          <w:szCs w:val="32"/>
          <w:lang w:val="en-US" w:eastAsia="zh-CN"/>
        </w:rPr>
        <w:t>按实际发生的费用</w:t>
      </w:r>
      <w:r>
        <w:rPr>
          <w:rFonts w:hint="eastAsia" w:ascii="宋体" w:hAnsi="宋体" w:eastAsia="方正仿宋_GBK" w:cs="方正仿宋_GBK"/>
          <w:color w:val="000000"/>
          <w:sz w:val="32"/>
          <w:szCs w:val="32"/>
        </w:rPr>
        <w:t>合理</w:t>
      </w:r>
      <w:r>
        <w:rPr>
          <w:rFonts w:hint="eastAsia" w:ascii="宋体" w:hAnsi="宋体" w:eastAsia="方正仿宋_GBK" w:cs="方正仿宋_GBK"/>
          <w:color w:val="000000"/>
          <w:sz w:val="32"/>
          <w:szCs w:val="32"/>
          <w:lang w:val="en-US" w:eastAsia="zh-CN"/>
        </w:rPr>
        <w:t>分配</w:t>
      </w:r>
      <w:r>
        <w:rPr>
          <w:rFonts w:hint="eastAsia" w:ascii="宋体" w:hAnsi="宋体" w:eastAsia="方正仿宋_GBK" w:cs="方正仿宋_GBK"/>
          <w:color w:val="000000"/>
          <w:sz w:val="32"/>
          <w:szCs w:val="32"/>
        </w:rPr>
        <w:t>使用</w:t>
      </w:r>
      <w:r>
        <w:rPr>
          <w:rFonts w:hint="eastAsia" w:ascii="宋体" w:hAnsi="宋体" w:eastAsia="方正仿宋_GBK" w:cs="方正仿宋_GBK"/>
          <w:color w:val="000000"/>
          <w:sz w:val="32"/>
          <w:szCs w:val="32"/>
          <w:lang w:val="en-US" w:eastAsia="zh-CN"/>
        </w:rPr>
        <w:t>财政</w:t>
      </w:r>
      <w:r>
        <w:rPr>
          <w:rFonts w:hint="eastAsia" w:ascii="宋体" w:hAnsi="宋体" w:eastAsia="方正仿宋_GBK" w:cs="方正仿宋_GBK"/>
          <w:color w:val="000000"/>
          <w:sz w:val="32"/>
          <w:szCs w:val="32"/>
        </w:rPr>
        <w:t>资金，</w:t>
      </w:r>
      <w:r>
        <w:rPr>
          <w:rFonts w:hint="eastAsia" w:ascii="宋体" w:hAnsi="宋体" w:eastAsia="方正仿宋_GBK" w:cs="方正仿宋_GBK"/>
          <w:color w:val="000000"/>
          <w:sz w:val="32"/>
          <w:szCs w:val="32"/>
          <w:lang w:val="en-US" w:eastAsia="zh-CN"/>
        </w:rPr>
        <w:t>严格把关支出，做到手续完备、程序合规，县财政根据财政资金安排，予以审核拨付。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3.项目完成情况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2023年</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县委</w:t>
      </w:r>
      <w:r>
        <w:rPr>
          <w:rFonts w:hint="eastAsia" w:ascii="宋体" w:hAnsi="宋体" w:eastAsia="方正仿宋_GBK" w:cs="方正仿宋_GBK"/>
          <w:color w:val="000000"/>
          <w:sz w:val="32"/>
          <w:szCs w:val="32"/>
        </w:rPr>
        <w:t>围绕乡村振兴、政法系统等开展</w:t>
      </w:r>
      <w:r>
        <w:rPr>
          <w:rFonts w:hint="eastAsia" w:ascii="宋体" w:hAnsi="宋体" w:eastAsia="方正仿宋_GBK" w:cs="方正仿宋_GBK"/>
          <w:color w:val="000000"/>
          <w:sz w:val="32"/>
          <w:szCs w:val="32"/>
          <w:lang w:val="en-US" w:eastAsia="zh-CN"/>
        </w:rPr>
        <w:t>3轮常规巡察、1轮村（社区）专项巡</w:t>
      </w:r>
      <w:r>
        <w:rPr>
          <w:rFonts w:hint="eastAsia" w:ascii="宋体" w:hAnsi="宋体" w:eastAsia="方正仿宋_GBK" w:cs="方正仿宋_GBK"/>
          <w:color w:val="auto"/>
          <w:sz w:val="32"/>
          <w:szCs w:val="32"/>
          <w:lang w:val="en-US" w:eastAsia="zh-CN"/>
        </w:rPr>
        <w:t>察和1轮道路交通安全领域纪律作风专项巡察。</w:t>
      </w:r>
      <w:r>
        <w:rPr>
          <w:rFonts w:hint="eastAsia" w:ascii="宋体" w:hAnsi="宋体" w:eastAsia="方正仿宋_GBK" w:cs="方正仿宋_GBK"/>
          <w:sz w:val="32"/>
          <w:szCs w:val="32"/>
        </w:rPr>
        <w:t>对</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rPr>
        <w:t>个县级部门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15</w:t>
      </w:r>
      <w:r>
        <w:rPr>
          <w:rFonts w:hint="eastAsia" w:ascii="宋体" w:hAnsi="宋体" w:eastAsia="方正仿宋_GBK" w:cs="方正仿宋_GBK"/>
          <w:sz w:val="32"/>
          <w:szCs w:val="32"/>
        </w:rPr>
        <w:t>个乡镇开展</w:t>
      </w:r>
      <w:r>
        <w:rPr>
          <w:rFonts w:hint="eastAsia" w:ascii="宋体" w:hAnsi="宋体" w:eastAsia="方正仿宋_GBK" w:cs="方正仿宋_GBK"/>
          <w:sz w:val="32"/>
          <w:szCs w:val="32"/>
          <w:lang w:val="en-US" w:eastAsia="zh-CN"/>
        </w:rPr>
        <w:t>了</w:t>
      </w:r>
      <w:r>
        <w:rPr>
          <w:rFonts w:hint="eastAsia" w:ascii="宋体" w:hAnsi="宋体" w:eastAsia="方正仿宋_GBK" w:cs="方正仿宋_GBK"/>
          <w:sz w:val="32"/>
          <w:szCs w:val="32"/>
        </w:rPr>
        <w:t>常规巡察，</w:t>
      </w:r>
      <w:r>
        <w:rPr>
          <w:rFonts w:hint="eastAsia" w:ascii="宋体" w:hAnsi="宋体" w:eastAsia="方正仿宋_GBK" w:cs="方正仿宋_GBK"/>
          <w:sz w:val="32"/>
          <w:szCs w:val="32"/>
          <w:lang w:val="en-US" w:eastAsia="zh-CN"/>
        </w:rPr>
        <w:t>对</w:t>
      </w:r>
      <w:r>
        <w:rPr>
          <w:rFonts w:hint="eastAsia" w:ascii="宋体" w:hAnsi="宋体" w:eastAsia="方正仿宋_GBK" w:cs="方正仿宋_GBK"/>
          <w:sz w:val="32"/>
          <w:szCs w:val="32"/>
        </w:rPr>
        <w:t>26个Ⅰ类村（社区）开展监督，</w:t>
      </w:r>
      <w:r>
        <w:rPr>
          <w:rFonts w:hint="eastAsia" w:ascii="宋体" w:hAnsi="宋体" w:eastAsia="方正仿宋_GBK" w:cs="方正仿宋_GBK"/>
          <w:sz w:val="32"/>
          <w:szCs w:val="32"/>
          <w:lang w:val="en-US" w:eastAsia="zh-CN"/>
        </w:rPr>
        <w:t>其中，</w:t>
      </w:r>
      <w:r>
        <w:rPr>
          <w:rFonts w:hint="eastAsia" w:eastAsia="方正仿宋_GBK" w:cs="方正仿宋_GBK"/>
          <w:kern w:val="0"/>
          <w:sz w:val="32"/>
          <w:szCs w:val="32"/>
        </w:rPr>
        <w:t>省县联动巡察2个单位</w:t>
      </w:r>
      <w:r>
        <w:rPr>
          <w:rFonts w:hint="eastAsia" w:eastAsia="方正仿宋_GBK" w:cs="方正仿宋_GBK"/>
          <w:sz w:val="32"/>
          <w:szCs w:val="32"/>
        </w:rPr>
        <w:t>、市委提级巡察2个单位、交叉联动巡察3个单位</w:t>
      </w:r>
      <w:r>
        <w:rPr>
          <w:rFonts w:hint="eastAsia" w:eastAsia="方正仿宋_GBK" w:cs="方正仿宋_GBK"/>
          <w:sz w:val="32"/>
          <w:szCs w:val="32"/>
          <w:lang w:eastAsia="zh-CN"/>
        </w:rPr>
        <w:t>。</w:t>
      </w:r>
      <w:r>
        <w:rPr>
          <w:rFonts w:hint="eastAsia" w:ascii="宋体" w:hAnsi="宋体" w:eastAsia="方正仿宋_GBK" w:cs="方正仿宋_GBK"/>
          <w:kern w:val="0"/>
          <w:sz w:val="32"/>
          <w:szCs w:val="32"/>
          <w:lang w:val="en-US" w:eastAsia="zh-CN"/>
        </w:rPr>
        <w:t>2023年</w:t>
      </w:r>
      <w:r>
        <w:rPr>
          <w:rFonts w:hint="eastAsia" w:ascii="宋体" w:hAnsi="宋体" w:eastAsia="方正仿宋_GBK" w:cs="方正仿宋_GBK"/>
          <w:kern w:val="0"/>
          <w:sz w:val="32"/>
          <w:szCs w:val="32"/>
        </w:rPr>
        <w:t>共抽调92余人次参加县委巡察，</w:t>
      </w:r>
      <w:r>
        <w:rPr>
          <w:rFonts w:hint="eastAsia" w:ascii="宋体" w:hAnsi="宋体" w:eastAsia="方正仿宋简体" w:cs="方正仿宋简体"/>
          <w:sz w:val="32"/>
          <w:szCs w:val="32"/>
        </w:rPr>
        <w:t>累计开展4次培训，共计170余人次参加</w:t>
      </w:r>
      <w:r>
        <w:rPr>
          <w:rFonts w:hint="eastAsia" w:ascii="宋体" w:hAnsi="宋体" w:eastAsia="方正仿宋_GBK" w:cs="方正仿宋_GBK"/>
          <w:sz w:val="32"/>
          <w:szCs w:val="32"/>
          <w:lang w:eastAsia="zh-CN"/>
        </w:rPr>
        <w:t>。</w:t>
      </w:r>
      <w:r>
        <w:rPr>
          <w:rFonts w:hint="eastAsia" w:eastAsia="方正仿宋简体" w:cs="方正仿宋简体"/>
          <w:sz w:val="32"/>
          <w:szCs w:val="32"/>
          <w:lang w:val="en-US" w:eastAsia="zh-CN"/>
        </w:rPr>
        <w:t>2023</w:t>
      </w:r>
      <w:r>
        <w:rPr>
          <w:rFonts w:hint="eastAsia" w:eastAsia="方正仿宋_GBK" w:cs="方正仿宋_GBK"/>
          <w:kern w:val="0"/>
          <w:sz w:val="32"/>
          <w:szCs w:val="32"/>
        </w:rPr>
        <w:t>年</w:t>
      </w:r>
      <w:r>
        <w:rPr>
          <w:rFonts w:hint="eastAsia" w:ascii="宋体" w:hAnsi="宋体" w:eastAsia="方正仿宋_GBK" w:cs="方正仿宋_GBK"/>
          <w:color w:val="000000"/>
          <w:sz w:val="32"/>
          <w:szCs w:val="32"/>
        </w:rPr>
        <w:t>常规巡察</w:t>
      </w:r>
      <w:r>
        <w:rPr>
          <w:rFonts w:hint="eastAsia" w:ascii="宋体" w:hAnsi="宋体" w:eastAsia="方正仿宋_GBK" w:cs="方正仿宋_GBK"/>
          <w:sz w:val="32"/>
          <w:szCs w:val="32"/>
        </w:rPr>
        <w:t>发现问题277个，问题线索41条</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村（社区）专项巡察发现问题224个，问题线索10条</w:t>
      </w:r>
      <w:r>
        <w:rPr>
          <w:rFonts w:hint="eastAsia" w:ascii="宋体" w:hAnsi="宋体"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（2）项目效益情况</w:t>
      </w:r>
    </w:p>
    <w:p>
      <w:pPr>
        <w:spacing w:line="580" w:lineRule="exact"/>
        <w:ind w:firstLine="640" w:firstLineChars="200"/>
        <w:rPr>
          <w:rFonts w:ascii="宋体" w:hAnsi="宋体"/>
        </w:rPr>
      </w:pPr>
      <w:r>
        <w:rPr>
          <w:rFonts w:hint="eastAsia" w:ascii="宋体" w:hAnsi="宋体" w:eastAsia="方正仿宋_GBK" w:cs="方正仿宋_GBK"/>
          <w:sz w:val="32"/>
          <w:szCs w:val="32"/>
        </w:rPr>
        <w:t>通过巡察</w:t>
      </w:r>
      <w:r>
        <w:rPr>
          <w:rFonts w:hint="eastAsia" w:ascii="宋体" w:hAnsi="宋体" w:eastAsia="方正仿宋简体" w:cs="方正仿宋简体"/>
          <w:sz w:val="32"/>
          <w:szCs w:val="32"/>
        </w:rPr>
        <w:t>共反馈问题721个，已整改551个，</w:t>
      </w:r>
      <w:r>
        <w:rPr>
          <w:rFonts w:hint="eastAsia" w:ascii="宋体" w:hAnsi="宋体" w:eastAsia="方正仿宋_GBK" w:cs="方正仿宋_GBK"/>
          <w:kern w:val="0"/>
          <w:sz w:val="32"/>
          <w:szCs w:val="32"/>
        </w:rPr>
        <w:t>推动被巡察党组织制定整改措施3197条，建立完善制度257个，清退资金290.63万余元</w:t>
      </w:r>
      <w:r>
        <w:rPr>
          <w:rFonts w:hint="eastAsia" w:ascii="宋体" w:hAnsi="宋体" w:eastAsia="方正仿宋简体" w:cs="方正仿宋简体"/>
          <w:sz w:val="32"/>
          <w:szCs w:val="32"/>
        </w:rPr>
        <w:t>。</w:t>
      </w:r>
      <w:r>
        <w:rPr>
          <w:rFonts w:hint="eastAsia" w:ascii="宋体" w:hAnsi="宋体" w:eastAsia="方正仿宋_GBK" w:cs="方正仿宋_GBK"/>
          <w:kern w:val="0"/>
          <w:sz w:val="32"/>
          <w:szCs w:val="32"/>
        </w:rPr>
        <w:t>向18个县级部门单位移交意见建议49条，推动建立完善行业领域相关制度机制5项</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sz w:val="32"/>
          <w:szCs w:val="32"/>
        </w:rPr>
        <w:t>向县纪委监委移交问题线索82条，给予党纪政务处分27人，立案调查干部56人。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4.项目组织、管理情况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（1）项目</w:t>
      </w:r>
      <w:r>
        <w:rPr>
          <w:rFonts w:hint="eastAsia" w:ascii="宋体" w:hAnsi="宋体" w:eastAsia="方正仿宋_GBK" w:cs="方正仿宋_GBK"/>
          <w:sz w:val="32"/>
          <w:szCs w:val="32"/>
          <w:lang w:val="en-US" w:eastAsia="zh-CN"/>
        </w:rPr>
        <w:t>组织</w:t>
      </w:r>
      <w:r>
        <w:rPr>
          <w:rFonts w:hint="eastAsia" w:ascii="宋体" w:hAnsi="宋体" w:eastAsia="方正仿宋_GBK" w:cs="方正仿宋_GBK"/>
          <w:sz w:val="32"/>
          <w:szCs w:val="32"/>
        </w:rPr>
        <w:t>情况</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根据县财政局的具体要求，本</w:t>
      </w:r>
      <w:r>
        <w:rPr>
          <w:rFonts w:hint="eastAsia" w:ascii="宋体" w:hAnsi="宋体" w:eastAsia="方正仿宋_GBK" w:cs="方正仿宋_GBK"/>
          <w:color w:val="000000"/>
          <w:sz w:val="32"/>
          <w:szCs w:val="32"/>
          <w:lang w:val="en-US" w:eastAsia="zh-CN"/>
        </w:rPr>
        <w:t>单位</w:t>
      </w:r>
      <w:r>
        <w:rPr>
          <w:rFonts w:hint="eastAsia" w:ascii="宋体" w:hAnsi="宋体" w:eastAsia="方正仿宋_GBK" w:cs="方正仿宋_GBK"/>
          <w:color w:val="000000"/>
          <w:sz w:val="32"/>
          <w:szCs w:val="32"/>
        </w:rPr>
        <w:t>高度重视，在年初召开会议，对</w:t>
      </w:r>
      <w:r>
        <w:rPr>
          <w:rFonts w:hint="eastAsia" w:ascii="宋体" w:hAnsi="宋体" w:eastAsia="方正仿宋_GBK" w:cs="方正仿宋_GBK"/>
          <w:color w:val="000000"/>
          <w:sz w:val="32"/>
          <w:szCs w:val="32"/>
          <w:lang w:val="en-US" w:eastAsia="zh-CN"/>
        </w:rPr>
        <w:t>巡察</w:t>
      </w:r>
      <w:r>
        <w:rPr>
          <w:rFonts w:hint="eastAsia" w:ascii="宋体" w:hAnsi="宋体" w:eastAsia="方正仿宋_GBK" w:cs="方正仿宋_GBK"/>
          <w:color w:val="000000"/>
          <w:sz w:val="32"/>
          <w:szCs w:val="32"/>
        </w:rPr>
        <w:t>工作做了具体安排部署，做到制度完善、职责明确、程序规范，有组织有计划有目的地开展</w:t>
      </w:r>
      <w:r>
        <w:rPr>
          <w:rFonts w:hint="eastAsia" w:ascii="宋体" w:hAnsi="宋体" w:eastAsia="方正仿宋_GBK" w:cs="方正仿宋_GBK"/>
          <w:color w:val="000000"/>
          <w:sz w:val="32"/>
          <w:szCs w:val="32"/>
          <w:lang w:val="en-US" w:eastAsia="zh-CN"/>
        </w:rPr>
        <w:t>巡察</w:t>
      </w:r>
      <w:r>
        <w:rPr>
          <w:rFonts w:hint="eastAsia" w:ascii="宋体" w:hAnsi="宋体" w:eastAsia="方正仿宋_GBK" w:cs="方正仿宋_GBK"/>
          <w:color w:val="000000"/>
          <w:sz w:val="32"/>
          <w:szCs w:val="32"/>
        </w:rPr>
        <w:t>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（2）项目管理情况</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lang w:val="en-US" w:eastAsia="zh-CN"/>
        </w:rPr>
      </w:pPr>
      <w:r>
        <w:rPr>
          <w:rFonts w:hint="eastAsia" w:ascii="宋体" w:hAnsi="宋体" w:eastAsia="方正仿宋_GBK" w:cs="方正仿宋_GBK"/>
          <w:color w:val="000000"/>
          <w:sz w:val="32"/>
          <w:szCs w:val="32"/>
        </w:rPr>
        <w:t>我</w:t>
      </w:r>
      <w:r>
        <w:rPr>
          <w:rFonts w:hint="eastAsia" w:ascii="宋体" w:hAnsi="宋体" w:eastAsia="方正仿宋_GBK" w:cs="方正仿宋_GBK"/>
          <w:color w:val="000000"/>
          <w:sz w:val="32"/>
          <w:szCs w:val="32"/>
          <w:lang w:val="en-US" w:eastAsia="zh-CN"/>
        </w:rPr>
        <w:t>单位</w:t>
      </w:r>
      <w:r>
        <w:rPr>
          <w:rFonts w:hint="eastAsia" w:ascii="宋体" w:hAnsi="宋体" w:eastAsia="方正仿宋_GBK" w:cs="方正仿宋_GBK"/>
          <w:color w:val="000000"/>
          <w:sz w:val="32"/>
          <w:szCs w:val="32"/>
        </w:rPr>
        <w:t>严格执行项目</w:t>
      </w:r>
      <w:r>
        <w:rPr>
          <w:rFonts w:hint="eastAsia" w:ascii="宋体" w:hAnsi="宋体" w:eastAsia="方正仿宋_GBK" w:cs="方正仿宋_GBK"/>
          <w:color w:val="000000"/>
          <w:sz w:val="32"/>
          <w:szCs w:val="32"/>
          <w:lang w:val="en-US" w:eastAsia="zh-CN"/>
        </w:rPr>
        <w:t>全过程</w:t>
      </w:r>
      <w:r>
        <w:rPr>
          <w:rFonts w:hint="eastAsia" w:ascii="宋体" w:hAnsi="宋体" w:eastAsia="方正仿宋_GBK" w:cs="方正仿宋_GBK"/>
          <w:color w:val="000000"/>
          <w:sz w:val="32"/>
          <w:szCs w:val="32"/>
        </w:rPr>
        <w:t>管理制度和专项资金管理办法，在项目实施过程中，予以实时</w:t>
      </w:r>
      <w:r>
        <w:rPr>
          <w:rFonts w:hint="eastAsia" w:ascii="宋体" w:hAnsi="宋体" w:eastAsia="方正仿宋_GBK" w:cs="方正仿宋_GBK"/>
          <w:color w:val="000000"/>
          <w:sz w:val="32"/>
          <w:szCs w:val="32"/>
          <w:lang w:val="en-US" w:eastAsia="zh-CN"/>
        </w:rPr>
        <w:t>跟踪</w:t>
      </w:r>
      <w:r>
        <w:rPr>
          <w:rFonts w:hint="eastAsia" w:ascii="宋体" w:hAnsi="宋体" w:eastAsia="方正仿宋_GBK" w:cs="方正仿宋_GBK"/>
          <w:color w:val="000000"/>
          <w:sz w:val="32"/>
          <w:szCs w:val="32"/>
        </w:rPr>
        <w:t>和监督，并及时通报项目进度，查找存在问题，及时做出整改</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并</w:t>
      </w:r>
      <w:r>
        <w:rPr>
          <w:rFonts w:hint="eastAsia" w:ascii="宋体" w:hAnsi="宋体" w:eastAsia="方正仿宋_GBK" w:cs="方正仿宋_GBK"/>
          <w:color w:val="000000"/>
          <w:sz w:val="32"/>
          <w:szCs w:val="32"/>
        </w:rPr>
        <w:t>自觉</w:t>
      </w:r>
      <w:r>
        <w:rPr>
          <w:rFonts w:hint="eastAsia" w:ascii="宋体" w:hAnsi="宋体" w:eastAsia="方正仿宋_GBK" w:cs="方正仿宋_GBK"/>
          <w:color w:val="000000"/>
          <w:sz w:val="32"/>
          <w:szCs w:val="32"/>
          <w:lang w:val="en-US" w:eastAsia="zh-CN"/>
        </w:rPr>
        <w:t>主动</w:t>
      </w:r>
      <w:r>
        <w:rPr>
          <w:rFonts w:hint="eastAsia" w:ascii="宋体" w:hAnsi="宋体" w:eastAsia="方正仿宋_GBK" w:cs="方正仿宋_GBK"/>
          <w:color w:val="000000"/>
          <w:sz w:val="32"/>
          <w:szCs w:val="32"/>
        </w:rPr>
        <w:t>接受财政、审计等部门和社会</w:t>
      </w:r>
      <w:r>
        <w:rPr>
          <w:rFonts w:hint="eastAsia" w:ascii="宋体" w:hAnsi="宋体" w:eastAsia="方正仿宋_GBK" w:cs="方正仿宋_GBK"/>
          <w:color w:val="000000"/>
          <w:sz w:val="32"/>
          <w:szCs w:val="32"/>
          <w:lang w:val="en-US" w:eastAsia="zh-CN"/>
        </w:rPr>
        <w:t>群众的</w:t>
      </w:r>
      <w:r>
        <w:rPr>
          <w:rFonts w:hint="eastAsia" w:ascii="宋体" w:hAnsi="宋体" w:eastAsia="方正仿宋_GBK" w:cs="方正仿宋_GBK"/>
          <w:color w:val="000000"/>
          <w:sz w:val="32"/>
          <w:szCs w:val="32"/>
        </w:rPr>
        <w:t>监督，保障经费</w:t>
      </w:r>
      <w:r>
        <w:rPr>
          <w:rFonts w:hint="eastAsia" w:ascii="宋体" w:hAnsi="宋体" w:eastAsia="方正仿宋_GBK" w:cs="方正仿宋_GBK"/>
          <w:color w:val="000000"/>
          <w:sz w:val="32"/>
          <w:szCs w:val="32"/>
          <w:lang w:val="en-US" w:eastAsia="zh-CN"/>
        </w:rPr>
        <w:t>管理使用</w:t>
      </w:r>
      <w:r>
        <w:rPr>
          <w:rFonts w:hint="eastAsia" w:ascii="宋体" w:hAnsi="宋体" w:eastAsia="方正仿宋_GBK" w:cs="方正仿宋_GBK"/>
          <w:color w:val="000000"/>
          <w:sz w:val="32"/>
          <w:szCs w:val="32"/>
        </w:rPr>
        <w:t>的公开透明、合理公正</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切实提高</w:t>
      </w:r>
      <w:r>
        <w:rPr>
          <w:rFonts w:hint="eastAsia" w:ascii="宋体" w:hAnsi="宋体" w:eastAsia="方正仿宋_GBK" w:cs="方正仿宋_GBK"/>
          <w:color w:val="000000"/>
          <w:sz w:val="32"/>
          <w:szCs w:val="32"/>
          <w:lang w:val="en-US" w:eastAsia="zh-CN"/>
        </w:rPr>
        <w:t>预算</w:t>
      </w:r>
      <w:r>
        <w:rPr>
          <w:rFonts w:hint="eastAsia" w:ascii="宋体" w:hAnsi="宋体" w:eastAsia="方正仿宋_GBK" w:cs="方正仿宋_GBK"/>
          <w:color w:val="000000"/>
          <w:sz w:val="32"/>
          <w:szCs w:val="32"/>
        </w:rPr>
        <w:t>资金执行率和使用效益。</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经</w:t>
      </w:r>
      <w:r>
        <w:rPr>
          <w:rFonts w:hint="eastAsia" w:ascii="宋体" w:hAnsi="宋体" w:eastAsia="方正仿宋_GBK" w:cs="方正仿宋_GBK"/>
          <w:color w:val="000000"/>
          <w:sz w:val="32"/>
          <w:szCs w:val="32"/>
          <w:lang w:val="en-US" w:eastAsia="zh-CN"/>
        </w:rPr>
        <w:t>自查</w:t>
      </w:r>
      <w:r>
        <w:rPr>
          <w:rFonts w:hint="eastAsia" w:ascii="宋体" w:hAnsi="宋体" w:eastAsia="方正仿宋_GBK" w:cs="方正仿宋_GBK"/>
          <w:color w:val="000000"/>
          <w:sz w:val="32"/>
          <w:szCs w:val="32"/>
        </w:rPr>
        <w:t>，项目资金使用不存在支出依据不合规、虚列项目支出的情况；不存在截留、挤占、挪用</w:t>
      </w:r>
      <w:r>
        <w:rPr>
          <w:rFonts w:hint="eastAsia" w:ascii="宋体" w:hAnsi="宋体" w:eastAsia="方正仿宋_GBK" w:cs="方正仿宋_GBK"/>
          <w:color w:val="000000"/>
          <w:sz w:val="32"/>
          <w:szCs w:val="32"/>
          <w:lang w:val="en-US" w:eastAsia="zh-CN"/>
        </w:rPr>
        <w:t>的</w:t>
      </w:r>
      <w:r>
        <w:rPr>
          <w:rFonts w:hint="eastAsia" w:ascii="宋体" w:hAnsi="宋体" w:eastAsia="方正仿宋_GBK" w:cs="方正仿宋_GBK"/>
          <w:color w:val="000000"/>
          <w:sz w:val="32"/>
          <w:szCs w:val="32"/>
        </w:rPr>
        <w:t>情况；不存在超标准</w:t>
      </w:r>
      <w:r>
        <w:rPr>
          <w:rFonts w:hint="eastAsia" w:ascii="宋体" w:hAnsi="宋体" w:eastAsia="方正仿宋_GBK" w:cs="方正仿宋_GBK"/>
          <w:color w:val="000000"/>
          <w:sz w:val="32"/>
          <w:szCs w:val="32"/>
          <w:lang w:val="en-US" w:eastAsia="zh-CN"/>
        </w:rPr>
        <w:t>超范围</w:t>
      </w:r>
      <w:r>
        <w:rPr>
          <w:rFonts w:hint="eastAsia" w:ascii="宋体" w:hAnsi="宋体" w:eastAsia="方正仿宋_GBK" w:cs="方正仿宋_GBK"/>
          <w:color w:val="000000"/>
          <w:sz w:val="32"/>
          <w:szCs w:val="32"/>
        </w:rPr>
        <w:t>开支</w:t>
      </w:r>
      <w:r>
        <w:rPr>
          <w:rFonts w:hint="eastAsia" w:ascii="宋体" w:hAnsi="宋体" w:eastAsia="方正仿宋_GBK" w:cs="方正仿宋_GBK"/>
          <w:color w:val="000000"/>
          <w:sz w:val="32"/>
          <w:szCs w:val="32"/>
          <w:lang w:val="en-US" w:eastAsia="zh-CN"/>
        </w:rPr>
        <w:t>的</w:t>
      </w:r>
      <w:r>
        <w:rPr>
          <w:rFonts w:hint="eastAsia" w:ascii="宋体" w:hAnsi="宋体" w:eastAsia="方正仿宋_GBK" w:cs="方正仿宋_GBK"/>
          <w:color w:val="000000"/>
          <w:sz w:val="32"/>
          <w:szCs w:val="32"/>
        </w:rPr>
        <w:t>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（二）绩效目标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1.项目绩效总目标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认真贯彻落实中央、省委和市委巡视巡察新精神新部署要求，紧盯目标任务，精心谋划组织，扎实推进巡察全覆盖，确保有形覆盖、有效覆盖相统一，政治监督不断走向具体化、常态化，推动中心工作落地落实。</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2.项目具体绩效目标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全年</w:t>
      </w:r>
      <w:r>
        <w:rPr>
          <w:rFonts w:hint="eastAsia" w:ascii="宋体" w:hAnsi="宋体" w:eastAsia="方正仿宋_GBK" w:cs="方正仿宋_GBK"/>
          <w:sz w:val="32"/>
          <w:szCs w:val="32"/>
        </w:rPr>
        <w:t>开展</w:t>
      </w:r>
      <w:r>
        <w:rPr>
          <w:rFonts w:hint="eastAsia" w:ascii="宋体" w:hAnsi="宋体" w:eastAsia="方正仿宋_GBK" w:cs="方正仿宋_GBK"/>
          <w:sz w:val="32"/>
          <w:szCs w:val="32"/>
          <w:lang w:val="en-US" w:eastAsia="zh-CN"/>
        </w:rPr>
        <w:t>不少于3</w:t>
      </w:r>
      <w:r>
        <w:rPr>
          <w:rFonts w:hint="eastAsia" w:ascii="宋体" w:hAnsi="宋体" w:eastAsia="方正仿宋_GBK" w:cs="方正仿宋_GBK"/>
          <w:sz w:val="32"/>
          <w:szCs w:val="32"/>
        </w:rPr>
        <w:t>轮</w:t>
      </w:r>
      <w:r>
        <w:rPr>
          <w:rFonts w:hint="eastAsia" w:ascii="宋体" w:hAnsi="宋体" w:eastAsia="方正仿宋_GBK" w:cs="方正仿宋_GBK"/>
          <w:sz w:val="32"/>
          <w:szCs w:val="32"/>
          <w:lang w:val="en-US" w:eastAsia="zh-CN"/>
        </w:rPr>
        <w:t>次的</w:t>
      </w:r>
      <w:r>
        <w:rPr>
          <w:rFonts w:hint="eastAsia" w:ascii="宋体" w:hAnsi="宋体" w:eastAsia="方正仿宋_GBK" w:cs="方正仿宋_GBK"/>
          <w:sz w:val="32"/>
          <w:szCs w:val="32"/>
        </w:rPr>
        <w:t>常规巡察</w:t>
      </w:r>
      <w:r>
        <w:rPr>
          <w:rFonts w:hint="eastAsia" w:ascii="宋体" w:hAnsi="宋体" w:eastAsia="方正仿宋_GBK" w:cs="方正仿宋_GBK"/>
          <w:sz w:val="32"/>
          <w:szCs w:val="32"/>
          <w:lang w:val="en-US" w:eastAsia="zh-CN"/>
        </w:rPr>
        <w:t>及专项巡察，</w:t>
      </w:r>
      <w:r>
        <w:rPr>
          <w:rFonts w:hint="eastAsia" w:ascii="宋体" w:hAnsi="宋体" w:eastAsia="方正仿宋_GBK" w:cs="方正仿宋_GBK"/>
          <w:sz w:val="32"/>
          <w:szCs w:val="32"/>
        </w:rPr>
        <w:t>完成</w:t>
      </w:r>
      <w:r>
        <w:rPr>
          <w:rFonts w:hint="eastAsia" w:ascii="宋体" w:hAnsi="宋体" w:eastAsia="方正仿宋_GBK" w:cs="方正仿宋_GBK"/>
          <w:sz w:val="32"/>
          <w:szCs w:val="32"/>
          <w:lang w:val="en-US" w:eastAsia="zh-CN"/>
        </w:rPr>
        <w:t>不少于30</w:t>
      </w:r>
      <w:r>
        <w:rPr>
          <w:rFonts w:hint="eastAsia" w:ascii="宋体" w:hAnsi="宋体" w:eastAsia="方正仿宋_GBK" w:cs="方正仿宋_GBK"/>
          <w:sz w:val="32"/>
          <w:szCs w:val="32"/>
        </w:rPr>
        <w:t>个单位</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部门）的</w:t>
      </w:r>
      <w:r>
        <w:rPr>
          <w:rFonts w:hint="eastAsia" w:ascii="宋体" w:hAnsi="宋体" w:eastAsia="方正仿宋_GBK" w:cs="方正仿宋_GBK"/>
          <w:sz w:val="32"/>
          <w:szCs w:val="32"/>
        </w:rPr>
        <w:t>巡察</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不少于1次市级统筹、提级交叉巡察，不少于2期</w:t>
      </w:r>
      <w:r>
        <w:rPr>
          <w:rFonts w:hint="eastAsia" w:ascii="宋体" w:hAnsi="宋体" w:eastAsia="方正仿宋_GBK" w:cs="方正仿宋_GBK"/>
          <w:sz w:val="32"/>
          <w:szCs w:val="32"/>
        </w:rPr>
        <w:t>巡察</w:t>
      </w:r>
      <w:r>
        <w:rPr>
          <w:rFonts w:hint="eastAsia" w:ascii="宋体" w:hAnsi="宋体" w:eastAsia="方正仿宋_GBK" w:cs="方正仿宋_GBK"/>
          <w:sz w:val="32"/>
          <w:szCs w:val="32"/>
          <w:lang w:val="en-US" w:eastAsia="zh-CN"/>
        </w:rPr>
        <w:t>业务培训，被巡察单位整改事项完成率达90%以上，社会群众对巡察工作满意度达90%以上，被巡察单位完成率达到100%。</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二、绩效自评工作情况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（一）自评工作组织领导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为</w:t>
      </w:r>
      <w:r>
        <w:rPr>
          <w:rFonts w:hint="eastAsia" w:ascii="宋体" w:hAnsi="宋体" w:eastAsia="方正仿宋_GBK" w:cs="方正仿宋_GBK"/>
          <w:color w:val="000000"/>
          <w:kern w:val="0"/>
          <w:sz w:val="32"/>
          <w:szCs w:val="32"/>
        </w:rPr>
        <w:t>了确保</w:t>
      </w: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3</w:t>
      </w:r>
      <w:r>
        <w:rPr>
          <w:rFonts w:hint="eastAsia" w:ascii="宋体" w:hAnsi="宋体" w:eastAsia="方正仿宋_GBK" w:cs="方正仿宋_GBK"/>
          <w:color w:val="000000"/>
          <w:kern w:val="0"/>
          <w:sz w:val="32"/>
          <w:szCs w:val="32"/>
        </w:rPr>
        <w:t>年度预算项目绩效自评工作的顺利开展，专门</w:t>
      </w:r>
      <w:r>
        <w:rPr>
          <w:rFonts w:hint="eastAsia" w:ascii="宋体" w:hAnsi="宋体" w:eastAsia="方正仿宋_GBK" w:cs="方正仿宋_GBK"/>
          <w:sz w:val="32"/>
          <w:szCs w:val="32"/>
        </w:rPr>
        <w:t>成立</w:t>
      </w:r>
      <w:r>
        <w:rPr>
          <w:rFonts w:hint="eastAsia" w:ascii="宋体" w:hAnsi="宋体" w:eastAsia="方正仿宋_GBK" w:cs="方正仿宋_GBK"/>
          <w:sz w:val="32"/>
          <w:szCs w:val="32"/>
          <w:lang w:val="en-US" w:eastAsia="zh-CN"/>
        </w:rPr>
        <w:t>了</w:t>
      </w:r>
      <w:r>
        <w:rPr>
          <w:rFonts w:hint="eastAsia" w:ascii="宋体" w:hAnsi="宋体" w:eastAsia="方正仿宋_GBK" w:cs="方正仿宋_GBK"/>
          <w:sz w:val="32"/>
          <w:szCs w:val="32"/>
          <w:lang w:eastAsia="zh-CN"/>
        </w:rPr>
        <w:t>以巡察办主任</w:t>
      </w:r>
      <w:r>
        <w:rPr>
          <w:rFonts w:hint="eastAsia" w:ascii="宋体" w:hAnsi="宋体" w:eastAsia="方正仿宋_GBK" w:cs="方正仿宋_GBK"/>
          <w:sz w:val="32"/>
          <w:szCs w:val="32"/>
          <w:lang w:val="en-US" w:eastAsia="zh-CN"/>
        </w:rPr>
        <w:t>为</w:t>
      </w:r>
      <w:r>
        <w:rPr>
          <w:rFonts w:hint="eastAsia" w:ascii="宋体" w:hAnsi="宋体" w:eastAsia="方正仿宋_GBK" w:cs="方正仿宋_GBK"/>
          <w:sz w:val="32"/>
          <w:szCs w:val="32"/>
          <w:lang w:eastAsia="zh-CN"/>
        </w:rPr>
        <w:t>组长，相关人员为成员</w:t>
      </w:r>
      <w:r>
        <w:rPr>
          <w:rFonts w:hint="eastAsia" w:ascii="宋体" w:hAnsi="宋体" w:eastAsia="方正仿宋_GBK" w:cs="方正仿宋_GBK"/>
          <w:sz w:val="32"/>
          <w:szCs w:val="32"/>
        </w:rPr>
        <w:t>的绩效评价小组</w:t>
      </w:r>
      <w:r>
        <w:rPr>
          <w:rFonts w:hint="eastAsia" w:ascii="宋体" w:hAnsi="宋体" w:eastAsia="方正仿宋_GBK" w:cs="方正仿宋_GBK"/>
          <w:sz w:val="32"/>
          <w:szCs w:val="32"/>
          <w:lang w:eastAsia="zh-CN"/>
        </w:rPr>
        <w:t>，</w:t>
      </w:r>
      <w:r>
        <w:rPr>
          <w:rFonts w:hint="eastAsia" w:ascii="宋体" w:hAnsi="宋体" w:eastAsia="方正仿宋_GBK" w:cs="方正仿宋_GBK"/>
          <w:color w:val="000000"/>
          <w:kern w:val="0"/>
          <w:sz w:val="32"/>
          <w:szCs w:val="32"/>
        </w:rPr>
        <w:t>评价小组认真审核每笔开支，确保支出合规合法。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（二）自评方式、方法、重点等</w:t>
      </w:r>
    </w:p>
    <w:p>
      <w:pPr>
        <w:keepNext w:val="0"/>
        <w:keepLines w:val="0"/>
        <w:pageBreakBefore w:val="0"/>
        <w:numPr>
          <w:ilvl w:val="0"/>
          <w:numId w:val="0"/>
        </w:numPr>
        <w:kinsoku/>
        <w:wordWrap/>
        <w:overflowPunct/>
        <w:topLinePunct w:val="0"/>
        <w:autoSpaceDE/>
        <w:bidi w:val="0"/>
        <w:spacing w:line="578" w:lineRule="exact"/>
        <w:ind w:firstLine="640" w:firstLineChars="200"/>
        <w:textAlignment w:val="auto"/>
        <w:rPr>
          <w:rFonts w:hint="eastAsia" w:ascii="宋体" w:hAnsi="宋体" w:eastAsia="方正仿宋简体" w:cs="Times New Roman"/>
          <w:bCs/>
          <w:sz w:val="32"/>
          <w:szCs w:val="32"/>
          <w:lang w:val="zh-CN" w:eastAsia="zh-CN" w:bidi="ar"/>
        </w:rPr>
      </w:pPr>
      <w:r>
        <w:rPr>
          <w:rFonts w:hint="eastAsia" w:ascii="宋体" w:hAnsi="宋体" w:eastAsia="方正仿宋简体" w:cs="Times New Roman"/>
          <w:bCs/>
          <w:sz w:val="32"/>
          <w:szCs w:val="32"/>
          <w:lang w:bidi="ar"/>
        </w:rPr>
        <w:t>结合202</w:t>
      </w:r>
      <w:r>
        <w:rPr>
          <w:rFonts w:hint="eastAsia" w:ascii="宋体" w:hAnsi="宋体" w:eastAsia="方正仿宋简体" w:cs="Times New Roman"/>
          <w:bCs/>
          <w:sz w:val="32"/>
          <w:szCs w:val="32"/>
          <w:lang w:val="en-US" w:eastAsia="zh-CN" w:bidi="ar"/>
        </w:rPr>
        <w:t>3</w:t>
      </w:r>
      <w:r>
        <w:rPr>
          <w:rFonts w:hint="eastAsia" w:ascii="宋体" w:hAnsi="宋体" w:eastAsia="方正仿宋简体" w:cs="Times New Roman"/>
          <w:bCs/>
          <w:sz w:val="32"/>
          <w:szCs w:val="32"/>
          <w:lang w:bidi="ar"/>
        </w:rPr>
        <w:t>年度</w:t>
      </w:r>
      <w:r>
        <w:rPr>
          <w:rFonts w:hint="eastAsia" w:ascii="宋体" w:hAnsi="宋体" w:eastAsia="方正仿宋简体" w:cs="Times New Roman"/>
          <w:bCs/>
          <w:sz w:val="32"/>
          <w:szCs w:val="32"/>
          <w:lang w:val="en-US" w:eastAsia="zh-CN" w:bidi="ar"/>
        </w:rPr>
        <w:t>县</w:t>
      </w:r>
      <w:r>
        <w:rPr>
          <w:rFonts w:hint="eastAsia" w:ascii="宋体" w:hAnsi="宋体" w:eastAsia="方正仿宋简体" w:cs="Times New Roman"/>
          <w:bCs/>
          <w:sz w:val="32"/>
          <w:szCs w:val="32"/>
          <w:lang w:bidi="ar"/>
        </w:rPr>
        <w:t>本级项目支出绩效自评指标与评分标准</w:t>
      </w:r>
      <w:r>
        <w:rPr>
          <w:rFonts w:hint="eastAsia" w:ascii="宋体" w:hAnsi="宋体" w:eastAsia="方正仿宋简体" w:cs="Times New Roman"/>
          <w:bCs/>
          <w:sz w:val="32"/>
          <w:szCs w:val="32"/>
          <w:lang w:eastAsia="zh-CN" w:bidi="ar"/>
        </w:rPr>
        <w:t>，</w:t>
      </w:r>
      <w:r>
        <w:rPr>
          <w:rFonts w:hint="eastAsia" w:ascii="宋体" w:hAnsi="宋体" w:eastAsia="方正仿宋简体" w:cs="Times New Roman"/>
          <w:bCs/>
          <w:sz w:val="32"/>
          <w:szCs w:val="32"/>
          <w:lang w:bidi="ar"/>
        </w:rPr>
        <w:t>通过分析相关评价资料</w:t>
      </w:r>
      <w:r>
        <w:rPr>
          <w:rFonts w:hint="eastAsia" w:ascii="宋体" w:hAnsi="宋体" w:eastAsia="方正仿宋简体" w:cs="Times New Roman"/>
          <w:bCs/>
          <w:sz w:val="32"/>
          <w:szCs w:val="32"/>
          <w:lang w:eastAsia="zh-CN" w:bidi="ar"/>
        </w:rPr>
        <w:t>，</w:t>
      </w:r>
      <w:r>
        <w:rPr>
          <w:rFonts w:hint="eastAsia" w:ascii="宋体" w:hAnsi="宋体" w:eastAsia="方正仿宋简体" w:cs="Times New Roman"/>
          <w:bCs/>
          <w:sz w:val="32"/>
          <w:szCs w:val="32"/>
          <w:lang w:bidi="ar"/>
        </w:rPr>
        <w:t>对项目支出绩效情况进行综合评分</w:t>
      </w:r>
      <w:r>
        <w:rPr>
          <w:rFonts w:hint="eastAsia" w:ascii="宋体" w:hAnsi="宋体" w:eastAsia="方正仿宋简体" w:cs="Times New Roman"/>
          <w:bCs/>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三、评价结论</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仿宋简体" w:cs="方正仿宋简体"/>
          <w:sz w:val="32"/>
          <w:szCs w:val="32"/>
        </w:rPr>
        <w:t>按照</w:t>
      </w:r>
      <w:r>
        <w:rPr>
          <w:rFonts w:hint="eastAsia" w:ascii="宋体" w:hAnsi="宋体" w:eastAsia="方正仿宋简体"/>
          <w:sz w:val="32"/>
        </w:rPr>
        <w:t>《安岳县财政支出绩效评价管理办法》</w:t>
      </w:r>
      <w:r>
        <w:rPr>
          <w:rFonts w:hint="eastAsia" w:ascii="宋体" w:hAnsi="宋体" w:eastAsia="方正仿宋简体" w:cs="方正仿宋简体"/>
          <w:sz w:val="32"/>
          <w:szCs w:val="32"/>
        </w:rPr>
        <w:t>规定</w:t>
      </w:r>
      <w:r>
        <w:rPr>
          <w:rFonts w:hint="eastAsia" w:ascii="宋体" w:hAnsi="宋体" w:eastAsia="方正仿宋_GBK" w:cs="方正仿宋_GBK"/>
          <w:color w:val="000000"/>
          <w:kern w:val="0"/>
          <w:sz w:val="32"/>
          <w:szCs w:val="32"/>
          <w:lang w:val="en-US" w:eastAsia="zh-CN" w:bidi="ar-SA"/>
        </w:rPr>
        <w:t>，</w:t>
      </w:r>
      <w:r>
        <w:rPr>
          <w:rFonts w:hint="eastAsia" w:ascii="宋体" w:hAnsi="宋体" w:eastAsia="方正仿宋简体" w:cs="方正仿宋简体"/>
          <w:sz w:val="32"/>
          <w:szCs w:val="32"/>
        </w:rPr>
        <w:t>本着客观、真实、准确的原则开展</w:t>
      </w:r>
      <w:r>
        <w:rPr>
          <w:rFonts w:hint="eastAsia" w:ascii="宋体" w:hAnsi="宋体" w:eastAsia="方正仿宋简体" w:cs="方正仿宋简体"/>
          <w:sz w:val="32"/>
          <w:szCs w:val="32"/>
          <w:lang w:val="en-US" w:eastAsia="zh-CN"/>
        </w:rPr>
        <w:t>项目支</w:t>
      </w:r>
      <w:r>
        <w:rPr>
          <w:rFonts w:hint="eastAsia" w:ascii="宋体" w:hAnsi="宋体" w:eastAsia="方正仿宋简体" w:cs="方正仿宋简体"/>
          <w:sz w:val="32"/>
          <w:szCs w:val="32"/>
        </w:rPr>
        <w:t>出绩效自评，</w:t>
      </w:r>
      <w:r>
        <w:rPr>
          <w:rFonts w:hint="eastAsia" w:ascii="宋体" w:hAnsi="宋体" w:eastAsia="方正仿宋_GBK" w:cs="方正仿宋_GBK"/>
          <w:color w:val="000000"/>
          <w:sz w:val="32"/>
          <w:szCs w:val="32"/>
        </w:rPr>
        <w:t>经过综合评价，得分为</w:t>
      </w:r>
      <w:r>
        <w:rPr>
          <w:rFonts w:hint="eastAsia" w:ascii="宋体" w:hAnsi="宋体" w:eastAsia="方正仿宋_GBK" w:cs="宋体"/>
          <w:color w:val="000000"/>
          <w:sz w:val="32"/>
          <w:szCs w:val="32"/>
          <w:lang w:val="en-US" w:eastAsia="zh-CN"/>
        </w:rPr>
        <w:t>100</w:t>
      </w:r>
      <w:r>
        <w:rPr>
          <w:rFonts w:hint="eastAsia" w:ascii="宋体" w:hAnsi="宋体" w:eastAsia="方正仿宋_GBK" w:cs="方正仿宋_GBK"/>
          <w:color w:val="000000"/>
          <w:sz w:val="32"/>
          <w:szCs w:val="32"/>
        </w:rPr>
        <w:t>分，财政支出绩效为“优”。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四、绩效分析</w:t>
      </w:r>
    </w:p>
    <w:p>
      <w:pPr>
        <w:pStyle w:val="6"/>
        <w:keepNext w:val="0"/>
        <w:keepLines w:val="0"/>
        <w:pageBreakBefore w:val="0"/>
        <w:kinsoku/>
        <w:wordWrap/>
        <w:overflowPunct/>
        <w:topLinePunct w:val="0"/>
        <w:autoSpaceDE/>
        <w:autoSpaceDN/>
        <w:bidi w:val="0"/>
        <w:adjustRightInd/>
        <w:snapToGrid/>
        <w:spacing w:after="0" w:line="590" w:lineRule="exact"/>
        <w:ind w:firstLine="643" w:firstLineChars="200"/>
        <w:jc w:val="both"/>
        <w:textAlignment w:val="auto"/>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（一）项目经济性分析</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ascii="宋体" w:hAnsi="宋体" w:eastAsia="方正仿宋简体"/>
          <w:color w:val="000000"/>
          <w:kern w:val="0"/>
          <w:sz w:val="32"/>
          <w:szCs w:val="32"/>
        </w:rPr>
      </w:pPr>
      <w:r>
        <w:rPr>
          <w:rFonts w:hint="eastAsia" w:ascii="宋体" w:hAnsi="宋体" w:cs="宋体"/>
          <w:b/>
          <w:color w:val="000000"/>
          <w:kern w:val="0"/>
          <w:sz w:val="32"/>
          <w:szCs w:val="32"/>
        </w:rPr>
        <w:t>1.</w:t>
      </w:r>
      <w:r>
        <w:rPr>
          <w:rFonts w:hint="eastAsia" w:ascii="宋体" w:hAnsi="宋体" w:eastAsia="方正仿宋_GBK" w:cs="方正仿宋_GBK"/>
          <w:b/>
          <w:color w:val="000000"/>
          <w:kern w:val="0"/>
          <w:sz w:val="32"/>
          <w:szCs w:val="32"/>
        </w:rPr>
        <w:t>项目成本控制情况。</w:t>
      </w:r>
      <w:r>
        <w:rPr>
          <w:rFonts w:hint="eastAsia" w:ascii="宋体" w:hAnsi="宋体" w:eastAsia="方正仿宋_GBK" w:cs="方正仿宋_GBK"/>
          <w:color w:val="000000"/>
          <w:kern w:val="0"/>
          <w:sz w:val="32"/>
          <w:szCs w:val="32"/>
        </w:rPr>
        <w:t>使用合理，无超支。</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sz w:val="32"/>
          <w:szCs w:val="32"/>
        </w:rPr>
      </w:pPr>
      <w:r>
        <w:rPr>
          <w:rFonts w:hint="eastAsia" w:ascii="宋体" w:hAnsi="宋体" w:cs="宋体"/>
          <w:b/>
          <w:color w:val="000000"/>
          <w:sz w:val="32"/>
          <w:szCs w:val="32"/>
        </w:rPr>
        <w:t>2.</w:t>
      </w:r>
      <w:r>
        <w:rPr>
          <w:rFonts w:hint="eastAsia" w:ascii="宋体" w:hAnsi="宋体" w:eastAsia="方正仿宋_GBK" w:cs="方正仿宋_GBK"/>
          <w:b/>
          <w:color w:val="000000"/>
          <w:sz w:val="32"/>
          <w:szCs w:val="32"/>
        </w:rPr>
        <w:t>项目成本节约情况。</w:t>
      </w:r>
      <w:r>
        <w:rPr>
          <w:rFonts w:hint="eastAsia" w:ascii="宋体" w:hAnsi="宋体" w:eastAsia="方正仿宋_GBK" w:cs="方正仿宋_GBK"/>
          <w:bCs/>
          <w:color w:val="000000"/>
          <w:sz w:val="32"/>
          <w:szCs w:val="32"/>
        </w:rPr>
        <w:t>规范流程、严格审批</w:t>
      </w:r>
      <w:r>
        <w:rPr>
          <w:rFonts w:hint="eastAsia" w:ascii="宋体" w:hAnsi="宋体" w:eastAsia="方正仿宋_GBK" w:cs="方正仿宋_GBK"/>
          <w:color w:val="000000"/>
          <w:sz w:val="32"/>
          <w:szCs w:val="32"/>
        </w:rPr>
        <w:t>，建立项目资金收支流水账，可以及时观察到计划支出与实际支出的偏差，便于合理调剂和成本控制。</w:t>
      </w:r>
    </w:p>
    <w:p>
      <w:pPr>
        <w:pStyle w:val="6"/>
        <w:keepNext w:val="0"/>
        <w:keepLines w:val="0"/>
        <w:pageBreakBefore w:val="0"/>
        <w:kinsoku/>
        <w:wordWrap/>
        <w:overflowPunct/>
        <w:topLinePunct w:val="0"/>
        <w:autoSpaceDE/>
        <w:autoSpaceDN/>
        <w:bidi w:val="0"/>
        <w:adjustRightInd/>
        <w:snapToGrid/>
        <w:spacing w:after="0" w:line="590" w:lineRule="exact"/>
        <w:ind w:firstLine="643" w:firstLineChars="200"/>
        <w:jc w:val="both"/>
        <w:textAlignment w:val="auto"/>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（二）项目的效率性分析</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sz w:val="32"/>
          <w:szCs w:val="32"/>
        </w:rPr>
      </w:pPr>
      <w:r>
        <w:rPr>
          <w:rFonts w:hint="eastAsia" w:ascii="宋体" w:hAnsi="宋体" w:cs="宋体"/>
          <w:b/>
          <w:color w:val="000000"/>
          <w:sz w:val="32"/>
          <w:szCs w:val="32"/>
        </w:rPr>
        <w:t>1.</w:t>
      </w:r>
      <w:r>
        <w:rPr>
          <w:rFonts w:hint="eastAsia" w:ascii="宋体" w:hAnsi="宋体" w:eastAsia="方正仿宋_GBK" w:cs="方正仿宋_GBK"/>
          <w:b/>
          <w:color w:val="000000"/>
          <w:sz w:val="32"/>
          <w:szCs w:val="32"/>
        </w:rPr>
        <w:t>项目的实施进度。</w:t>
      </w:r>
      <w:r>
        <w:rPr>
          <w:rFonts w:hint="eastAsia" w:ascii="宋体" w:hAnsi="宋体" w:eastAsia="方正仿宋_GBK" w:cs="方正仿宋_GBK"/>
          <w:color w:val="000000"/>
          <w:sz w:val="32"/>
          <w:szCs w:val="32"/>
        </w:rPr>
        <w:t>以财政预算为基础，根据</w:t>
      </w:r>
      <w:r>
        <w:rPr>
          <w:rFonts w:hint="eastAsia" w:ascii="宋体" w:hAnsi="宋体" w:eastAsia="方正仿宋_GBK" w:cs="方正仿宋_GBK"/>
          <w:color w:val="000000"/>
          <w:sz w:val="32"/>
          <w:szCs w:val="32"/>
          <w:lang w:val="en-US" w:eastAsia="zh-CN"/>
        </w:rPr>
        <w:t>巡察</w:t>
      </w:r>
      <w:r>
        <w:rPr>
          <w:rFonts w:hint="eastAsia" w:ascii="宋体" w:hAnsi="宋体" w:eastAsia="方正仿宋_GBK" w:cs="方正仿宋_GBK"/>
          <w:color w:val="000000"/>
          <w:sz w:val="32"/>
          <w:szCs w:val="32"/>
        </w:rPr>
        <w:t>工作的实际情况，分阶段按流程开展项目实施。</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简体"/>
          <w:color w:val="000000"/>
          <w:sz w:val="32"/>
          <w:szCs w:val="32"/>
        </w:rPr>
      </w:pPr>
      <w:r>
        <w:rPr>
          <w:rFonts w:hint="eastAsia" w:ascii="宋体" w:hAnsi="宋体" w:cs="宋体"/>
          <w:b/>
          <w:color w:val="000000"/>
          <w:sz w:val="32"/>
          <w:szCs w:val="32"/>
        </w:rPr>
        <w:t>2.</w:t>
      </w:r>
      <w:r>
        <w:rPr>
          <w:rFonts w:hint="eastAsia" w:ascii="宋体" w:hAnsi="宋体" w:eastAsia="方正仿宋_GBK" w:cs="方正仿宋_GBK"/>
          <w:b/>
          <w:color w:val="000000"/>
          <w:sz w:val="32"/>
          <w:szCs w:val="32"/>
        </w:rPr>
        <w:t>项目完成质量。</w:t>
      </w:r>
      <w:r>
        <w:rPr>
          <w:rFonts w:hint="eastAsia" w:ascii="宋体" w:hAnsi="宋体" w:eastAsia="方正仿宋_GBK" w:cs="方正仿宋_GBK"/>
          <w:color w:val="000000"/>
          <w:sz w:val="32"/>
          <w:szCs w:val="32"/>
        </w:rPr>
        <w:t>全面完成年初制订的项目</w:t>
      </w:r>
      <w:r>
        <w:rPr>
          <w:rFonts w:hint="eastAsia" w:ascii="宋体" w:hAnsi="宋体" w:eastAsia="方正仿宋_GBK" w:cs="方正仿宋_GBK"/>
          <w:color w:val="000000"/>
          <w:sz w:val="32"/>
          <w:szCs w:val="32"/>
          <w:lang w:val="en-US" w:eastAsia="zh-CN"/>
        </w:rPr>
        <w:t>绩效</w:t>
      </w:r>
      <w:r>
        <w:rPr>
          <w:rFonts w:hint="eastAsia" w:ascii="宋体" w:hAnsi="宋体" w:eastAsia="方正仿宋_GBK" w:cs="方正仿宋_GBK"/>
          <w:color w:val="000000"/>
          <w:sz w:val="32"/>
          <w:szCs w:val="32"/>
        </w:rPr>
        <w:t>指标，</w:t>
      </w:r>
      <w:r>
        <w:rPr>
          <w:rFonts w:hint="eastAsia" w:ascii="宋体" w:hAnsi="宋体" w:eastAsia="方正仿宋_GBK" w:cs="方正仿宋_GBK"/>
          <w:sz w:val="32"/>
          <w:szCs w:val="32"/>
        </w:rPr>
        <w:t>充分发挥巡察利剑的震慑作用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推动全面从严治党向纵深发展</w:t>
      </w:r>
      <w:r>
        <w:rPr>
          <w:rFonts w:hint="eastAsia" w:ascii="宋体" w:hAnsi="宋体" w:eastAsia="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after="0" w:line="590" w:lineRule="exact"/>
        <w:ind w:firstLine="643" w:firstLineChars="200"/>
        <w:jc w:val="both"/>
        <w:textAlignment w:val="auto"/>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（三）项目的效益性分析</w:t>
      </w:r>
    </w:p>
    <w:p>
      <w:pPr>
        <w:pStyle w:val="17"/>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sz w:val="32"/>
          <w:szCs w:val="32"/>
        </w:rPr>
      </w:pPr>
      <w:r>
        <w:rPr>
          <w:rFonts w:hint="eastAsia" w:ascii="宋体" w:hAnsi="宋体" w:cs="宋体"/>
          <w:b/>
          <w:color w:val="000000"/>
          <w:sz w:val="32"/>
          <w:szCs w:val="32"/>
        </w:rPr>
        <w:t>1.</w:t>
      </w:r>
      <w:r>
        <w:rPr>
          <w:rFonts w:hint="eastAsia" w:ascii="宋体" w:hAnsi="宋体" w:eastAsia="方正仿宋_GBK" w:cs="方正仿宋_GBK"/>
          <w:b/>
          <w:color w:val="000000"/>
          <w:sz w:val="32"/>
          <w:szCs w:val="32"/>
        </w:rPr>
        <w:t>项目预期目标完成。</w:t>
      </w:r>
      <w:r>
        <w:rPr>
          <w:rFonts w:hint="eastAsia" w:ascii="宋体" w:hAnsi="宋体" w:eastAsia="方正仿宋_GBK" w:cs="方正仿宋_GBK"/>
          <w:color w:val="000000"/>
          <w:sz w:val="32"/>
          <w:szCs w:val="32"/>
          <w:lang w:val="en-US" w:eastAsia="zh-CN"/>
        </w:rPr>
        <w:t>本年度项目绩效目标全部完成，无偏差，</w:t>
      </w:r>
      <w:r>
        <w:rPr>
          <w:rFonts w:hint="eastAsia" w:ascii="宋体" w:hAnsi="宋体" w:eastAsia="方正仿宋_GBK" w:cs="方正仿宋_GBK"/>
          <w:color w:val="000000"/>
          <w:sz w:val="32"/>
          <w:szCs w:val="32"/>
        </w:rPr>
        <w:t>达到了预期目标。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color w:val="000000"/>
          <w:sz w:val="32"/>
          <w:szCs w:val="32"/>
        </w:rPr>
      </w:pPr>
      <w:r>
        <w:rPr>
          <w:rFonts w:hint="eastAsia" w:ascii="宋体" w:hAnsi="宋体" w:cs="宋体"/>
          <w:b/>
          <w:color w:val="000000"/>
          <w:sz w:val="32"/>
          <w:szCs w:val="32"/>
        </w:rPr>
        <w:t>2.</w:t>
      </w:r>
      <w:r>
        <w:rPr>
          <w:rFonts w:hint="eastAsia" w:ascii="宋体" w:hAnsi="宋体" w:eastAsia="方正仿宋_GBK" w:cs="方正仿宋_GBK"/>
          <w:b/>
          <w:color w:val="000000"/>
          <w:sz w:val="32"/>
          <w:szCs w:val="32"/>
        </w:rPr>
        <w:t>项目实施对经济和社会的影响。</w:t>
      </w:r>
      <w:r>
        <w:rPr>
          <w:rFonts w:hint="eastAsia" w:ascii="宋体" w:hAnsi="宋体" w:eastAsia="方正仿宋_GBK" w:cs="方正仿宋_GBK"/>
          <w:color w:val="000000"/>
          <w:sz w:val="32"/>
          <w:szCs w:val="32"/>
        </w:rPr>
        <w:t>追缴清退各类违规资金</w:t>
      </w:r>
      <w:r>
        <w:rPr>
          <w:rFonts w:hint="eastAsia" w:ascii="宋体" w:hAnsi="宋体" w:eastAsia="方正仿宋_GBK" w:cs="方正仿宋_GBK"/>
          <w:kern w:val="0"/>
          <w:sz w:val="32"/>
          <w:szCs w:val="32"/>
        </w:rPr>
        <w:t>290.63</w:t>
      </w:r>
      <w:r>
        <w:rPr>
          <w:rFonts w:hint="eastAsia" w:ascii="宋体" w:hAnsi="宋体" w:eastAsia="方正仿宋_GBK" w:cs="方正仿宋_GBK"/>
          <w:color w:val="000000"/>
          <w:sz w:val="32"/>
          <w:szCs w:val="32"/>
        </w:rPr>
        <w:t>余万元</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挽回经济损失</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推动解决</w:t>
      </w:r>
      <w:r>
        <w:rPr>
          <w:rFonts w:hint="eastAsia" w:ascii="宋体" w:hAnsi="宋体" w:eastAsia="方正仿宋_GBK" w:cs="方正仿宋_GBK"/>
          <w:color w:val="000000"/>
          <w:sz w:val="32"/>
          <w:szCs w:val="32"/>
        </w:rPr>
        <w:t>群众</w:t>
      </w:r>
      <w:r>
        <w:rPr>
          <w:rFonts w:hint="eastAsia" w:ascii="宋体" w:hAnsi="宋体" w:eastAsia="方正仿宋_GBK" w:cs="方正仿宋_GBK"/>
          <w:color w:val="000000"/>
          <w:sz w:val="32"/>
          <w:szCs w:val="32"/>
          <w:lang w:val="en-US" w:eastAsia="zh-CN"/>
        </w:rPr>
        <w:t>急难愁盼</w:t>
      </w:r>
      <w:r>
        <w:rPr>
          <w:rFonts w:hint="eastAsia" w:ascii="宋体" w:hAnsi="宋体" w:eastAsia="方正仿宋_GBK" w:cs="方正仿宋_GBK"/>
          <w:color w:val="000000"/>
          <w:sz w:val="32"/>
          <w:szCs w:val="32"/>
        </w:rPr>
        <w:t>的问题，</w:t>
      </w:r>
      <w:r>
        <w:rPr>
          <w:rFonts w:hint="eastAsia" w:ascii="宋体" w:hAnsi="宋体" w:eastAsia="方正仿宋_GBK" w:cs="方正仿宋_GBK"/>
          <w:sz w:val="32"/>
          <w:szCs w:val="32"/>
        </w:rPr>
        <w:t>密切了党群关系，</w:t>
      </w:r>
      <w:r>
        <w:rPr>
          <w:rFonts w:hint="eastAsia" w:ascii="宋体" w:hAnsi="宋体" w:eastAsia="方正仿宋_GBK" w:cs="方正仿宋_GBK"/>
          <w:color w:val="000000"/>
          <w:sz w:val="32"/>
          <w:szCs w:val="32"/>
          <w:lang w:val="en-US" w:eastAsia="zh-CN"/>
        </w:rPr>
        <w:t>提升了</w:t>
      </w:r>
      <w:r>
        <w:rPr>
          <w:rFonts w:hint="eastAsia" w:ascii="宋体" w:hAnsi="宋体" w:eastAsia="方正仿宋_GBK" w:cs="方正仿宋_GBK"/>
          <w:color w:val="000000"/>
          <w:sz w:val="32"/>
          <w:szCs w:val="32"/>
        </w:rPr>
        <w:t>群众</w:t>
      </w:r>
      <w:r>
        <w:rPr>
          <w:rFonts w:hint="eastAsia" w:ascii="宋体" w:hAnsi="宋体" w:eastAsia="方正仿宋_GBK" w:cs="方正仿宋_GBK"/>
          <w:color w:val="000000"/>
          <w:sz w:val="32"/>
          <w:szCs w:val="32"/>
          <w:lang w:val="en-US" w:eastAsia="zh-CN"/>
        </w:rPr>
        <w:t>安全感、获得感、幸福感。</w:t>
      </w:r>
      <w:r>
        <w:rPr>
          <w:rFonts w:hint="eastAsia" w:ascii="宋体" w:hAnsi="宋体" w:eastAsia="方正仿宋_GBK" w:cs="方正仿宋_GBK"/>
          <w:color w:val="000000"/>
          <w:sz w:val="32"/>
          <w:szCs w:val="32"/>
        </w:rPr>
        <w:t>充分发挥巡察利剑的震慑作用</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推动全面从严治党向纵深发展</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sz w:val="32"/>
          <w:szCs w:val="32"/>
        </w:rPr>
        <w:t>为全县</w:t>
      </w:r>
      <w:r>
        <w:rPr>
          <w:rFonts w:hint="eastAsia" w:ascii="宋体" w:hAnsi="宋体" w:eastAsia="方正仿宋_GBK" w:cs="方正仿宋_GBK"/>
          <w:sz w:val="32"/>
          <w:szCs w:val="32"/>
          <w:lang w:val="en-US" w:eastAsia="zh-CN"/>
        </w:rPr>
        <w:t>经济社会</w:t>
      </w:r>
      <w:r>
        <w:rPr>
          <w:rFonts w:hint="eastAsia" w:ascii="宋体" w:hAnsi="宋体" w:eastAsia="方正仿宋_GBK" w:cs="方正仿宋_GBK"/>
          <w:sz w:val="32"/>
          <w:szCs w:val="32"/>
        </w:rPr>
        <w:t>高质量发展提供坚强的政治纪律保障。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五、主要经验及做法、存在的问题和建议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巡察</w:t>
      </w:r>
      <w:r>
        <w:rPr>
          <w:rFonts w:hint="eastAsia" w:ascii="宋体" w:hAnsi="宋体" w:eastAsia="方正仿宋_GBK" w:cs="方正仿宋_GBK"/>
          <w:sz w:val="32"/>
          <w:szCs w:val="32"/>
          <w:lang w:val="en-US" w:eastAsia="zh-CN"/>
        </w:rPr>
        <w:t>专项</w:t>
      </w:r>
      <w:r>
        <w:rPr>
          <w:rFonts w:hint="eastAsia" w:ascii="宋体" w:hAnsi="宋体" w:eastAsia="方正仿宋_GBK" w:cs="方正仿宋_GBK"/>
          <w:sz w:val="32"/>
          <w:szCs w:val="32"/>
        </w:rPr>
        <w:t>经费列入年度预算，</w:t>
      </w:r>
      <w:r>
        <w:rPr>
          <w:rFonts w:hint="eastAsia" w:ascii="宋体" w:hAnsi="宋体" w:eastAsia="方正仿宋_GBK" w:cs="方正仿宋_GBK"/>
          <w:color w:val="000000"/>
          <w:kern w:val="0"/>
          <w:sz w:val="32"/>
          <w:szCs w:val="32"/>
          <w:lang w:val="en-US" w:eastAsia="zh-CN" w:bidi="ar-SA"/>
        </w:rPr>
        <w:t>申报预算前由巡察办和六个巡察组提前做好调研，精准测算，提出经费申请计划，并提供相应的初始指标及分值，由巡察办统一指导修改和完善项目绩效目标设定、绩效指标结构、绩效指标内容、绩效指标权重，确保各项目绩效指标量化合理、科学可考核，事中做好绩效运行跟踪，实时监控项目实施情况及专项经费的使用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1.绩效指标设置方向、内容、指标选用等方面有待进一步完善和细化。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2.由于财政资金到位不及时，存在资金拖欠现象。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（三）建议和改进措施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1.规范绩效目标编制，科学选定指标，合理设定绩效指标值。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2.进一步加强预算绩效管理常态化建设，加强与财政沟通对接，保障项目资金及时足额拨付到位。</w:t>
      </w:r>
    </w:p>
    <w:p>
      <w:pPr>
        <w:pStyle w:val="6"/>
        <w:spacing w:after="0" w:line="590" w:lineRule="exact"/>
        <w:rPr>
          <w:rFonts w:hint="default" w:ascii="宋体" w:hAnsi="宋体" w:eastAsia="方正仿宋_GBK" w:cs="方正仿宋_GBK"/>
          <w:color w:val="000000"/>
          <w:sz w:val="32"/>
          <w:szCs w:val="32"/>
          <w:lang w:val="en-US" w:eastAsia="zh-CN"/>
        </w:rPr>
      </w:pPr>
    </w:p>
    <w:p>
      <w:pPr>
        <w:pStyle w:val="6"/>
        <w:spacing w:after="0" w:line="580" w:lineRule="exact"/>
        <w:ind w:firstLine="627" w:firstLineChars="196"/>
        <w:rPr>
          <w:rFonts w:ascii="Times New Roman" w:hAnsi="Times New Roman" w:eastAsia="方正仿宋简体"/>
          <w:color w:val="000000"/>
          <w:kern w:val="0"/>
          <w:sz w:val="32"/>
          <w:szCs w:val="32"/>
        </w:rPr>
      </w:pPr>
      <w:r>
        <w:rPr>
          <w:rFonts w:hint="eastAsia" w:ascii="宋体" w:hAnsi="宋体" w:eastAsia="方正仿宋_GBK" w:cs="方正仿宋_GBK"/>
          <w:color w:val="000000"/>
          <w:kern w:val="0"/>
          <w:sz w:val="32"/>
          <w:szCs w:val="32"/>
          <w:lang w:val="en-US" w:eastAsia="zh-CN" w:bidi="ar-SA"/>
        </w:rPr>
        <w:t>附件：4-1 2023年度安岳县项目支出绩效自评计分表</w:t>
      </w:r>
    </w:p>
    <w:p>
      <w:pPr>
        <w:pStyle w:val="6"/>
        <w:spacing w:line="620" w:lineRule="exact"/>
        <w:ind w:left="2237" w:leftChars="608" w:hanging="960" w:hangingChars="300"/>
        <w:rPr>
          <w:rFonts w:hint="eastAsia" w:ascii="Times New Roman" w:hAnsi="Times New Roman" w:eastAsia="方正仿宋简体"/>
          <w:sz w:val="32"/>
          <w:szCs w:val="32"/>
        </w:rPr>
      </w:pPr>
      <w:r>
        <w:rPr>
          <w:rFonts w:hint="eastAsia" w:ascii="Times New Roman" w:hAnsi="Times New Roman" w:eastAsia="方正仿宋简体"/>
          <w:sz w:val="32"/>
          <w:szCs w:val="32"/>
        </w:rPr>
        <w:t xml:space="preserve"> </w:t>
      </w:r>
      <w:r>
        <w:rPr>
          <w:rFonts w:hint="eastAsia" w:ascii="宋体" w:hAnsi="宋体" w:eastAsia="方正仿宋_GBK" w:cs="方正仿宋_GBK"/>
          <w:color w:val="000000"/>
          <w:kern w:val="0"/>
          <w:sz w:val="32"/>
          <w:szCs w:val="32"/>
          <w:lang w:val="en-US" w:eastAsia="zh-CN" w:bidi="ar-SA"/>
        </w:rPr>
        <w:t xml:space="preserve"> 4-2 </w:t>
      </w:r>
      <w:r>
        <w:rPr>
          <w:rFonts w:hint="eastAsia" w:ascii="宋体" w:hAnsi="宋体" w:eastAsia="方正仿宋_GBK" w:cs="方正仿宋_GBK"/>
          <w:color w:val="000000"/>
          <w:spacing w:val="-20"/>
          <w:kern w:val="0"/>
          <w:sz w:val="32"/>
          <w:szCs w:val="32"/>
          <w:lang w:val="en-US" w:eastAsia="zh-CN" w:bidi="ar-SA"/>
        </w:rPr>
        <w:t>2023年度安</w:t>
      </w:r>
      <w:r>
        <w:rPr>
          <w:rFonts w:hint="eastAsia" w:ascii="Times New Roman" w:hAnsi="Times New Roman" w:eastAsia="方正仿宋简体"/>
          <w:spacing w:val="-20"/>
          <w:sz w:val="32"/>
          <w:szCs w:val="32"/>
        </w:rPr>
        <w:t>岳县</w:t>
      </w:r>
      <w:r>
        <w:rPr>
          <w:rFonts w:ascii="Times New Roman" w:hAnsi="Times New Roman" w:eastAsia="方正仿宋简体"/>
          <w:spacing w:val="-20"/>
          <w:sz w:val="32"/>
          <w:szCs w:val="32"/>
        </w:rPr>
        <w:t>项目支出绩效目标完成情况表</w:t>
      </w:r>
    </w:p>
    <w:p>
      <w:pPr>
        <w:pStyle w:val="2"/>
        <w:rPr>
          <w:rFonts w:hint="eastAsia"/>
          <w:lang w:val="en-US" w:eastAsia="zh-CN"/>
        </w:rPr>
      </w:pPr>
    </w:p>
    <w:p>
      <w:pPr>
        <w:spacing w:line="660" w:lineRule="exact"/>
        <w:jc w:val="left"/>
        <w:rPr>
          <w:rFonts w:hint="eastAsia" w:ascii="方正黑体_GBK" w:hAnsi="方正黑体_GBK" w:eastAsia="方正黑体_GBK" w:cs="方正黑体_GBK"/>
          <w:sz w:val="32"/>
          <w:szCs w:val="32"/>
          <w:lang w:val="en-US" w:eastAsia="zh-CN"/>
        </w:rPr>
      </w:pPr>
    </w:p>
    <w:p>
      <w:pPr>
        <w:spacing w:line="660" w:lineRule="exact"/>
        <w:jc w:val="left"/>
        <w:rPr>
          <w:rFonts w:hint="eastAsia" w:ascii="方正黑体_GBK" w:hAnsi="方正黑体_GBK" w:eastAsia="方正黑体_GBK" w:cs="方正黑体_GBK"/>
          <w:sz w:val="32"/>
          <w:szCs w:val="32"/>
          <w:lang w:val="en-US" w:eastAsia="zh-CN"/>
        </w:rPr>
      </w:pPr>
    </w:p>
    <w:p>
      <w:pPr>
        <w:spacing w:line="660" w:lineRule="exact"/>
        <w:jc w:val="left"/>
        <w:rPr>
          <w:rFonts w:hint="eastAsia" w:ascii="方正黑体_GBK" w:hAnsi="方正黑体_GBK" w:eastAsia="方正黑体_GBK" w:cs="方正黑体_GBK"/>
          <w:sz w:val="32"/>
          <w:szCs w:val="32"/>
          <w:lang w:val="en-US" w:eastAsia="zh-CN"/>
        </w:rPr>
      </w:pPr>
    </w:p>
    <w:p>
      <w:pPr>
        <w:spacing w:line="660" w:lineRule="exact"/>
        <w:jc w:val="left"/>
        <w:rPr>
          <w:rFonts w:hint="eastAsia" w:ascii="方正黑体_GBK" w:hAnsi="方正黑体_GBK" w:eastAsia="方正黑体_GBK" w:cs="方正黑体_GBK"/>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附件4-1</w:t>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年度安岳县项目支出绩效自评计分表</w:t>
      </w:r>
    </w:p>
    <w:p>
      <w:pPr>
        <w:autoSpaceDE w:val="0"/>
        <w:autoSpaceDN w:val="0"/>
        <w:adjustRightInd w:val="0"/>
        <w:spacing w:line="580" w:lineRule="exact"/>
        <w:jc w:val="center"/>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w:t>
      </w:r>
      <w:r>
        <w:rPr>
          <w:rFonts w:hint="eastAsia" w:ascii="宋体" w:hAnsi="宋体" w:eastAsia="方正楷体_GBK" w:cs="方正楷体_GBK"/>
          <w:b/>
          <w:bCs/>
          <w:sz w:val="32"/>
          <w:szCs w:val="32"/>
          <w:lang w:val="en-US" w:eastAsia="zh-CN"/>
        </w:rPr>
        <w:t>县委</w:t>
      </w:r>
      <w:r>
        <w:rPr>
          <w:rFonts w:hint="eastAsia" w:ascii="宋体" w:hAnsi="宋体" w:eastAsia="方正楷体_GBK" w:cs="方正楷体_GBK"/>
          <w:b/>
          <w:bCs/>
          <w:sz w:val="32"/>
          <w:szCs w:val="32"/>
        </w:rPr>
        <w:t>巡察专项经费）</w:t>
      </w:r>
    </w:p>
    <w:p>
      <w:pPr>
        <w:autoSpaceDE w:val="0"/>
        <w:autoSpaceDN w:val="0"/>
        <w:adjustRightInd w:val="0"/>
        <w:spacing w:line="580" w:lineRule="exact"/>
        <w:jc w:val="center"/>
        <w:rPr>
          <w:rFonts w:ascii="宋体" w:hAnsi="宋体" w:eastAsia="方正黑体简体"/>
          <w:sz w:val="32"/>
          <w:szCs w:val="32"/>
        </w:rPr>
      </w:pPr>
      <w:r>
        <w:rPr>
          <w:rFonts w:hint="eastAsia" w:ascii="Times New Roman" w:hAnsi="Times New Roman" w:eastAsia="楷体_GB2312"/>
          <w:b/>
          <w:bCs/>
          <w:kern w:val="0"/>
          <w:sz w:val="20"/>
          <w:szCs w:val="20"/>
          <w:lang w:val="en-US" w:eastAsia="zh-CN"/>
        </w:rPr>
        <w:t>预算单位名称：</w:t>
      </w:r>
      <w:r>
        <w:rPr>
          <w:rFonts w:hint="eastAsia" w:ascii="Times New Roman" w:hAnsi="Times New Roman" w:eastAsia="楷体_GB2312"/>
          <w:b/>
          <w:bCs/>
          <w:spacing w:val="-20"/>
          <w:kern w:val="0"/>
          <w:sz w:val="20"/>
          <w:szCs w:val="20"/>
          <w:lang w:val="en-US" w:eastAsia="zh-CN"/>
        </w:rPr>
        <w:t xml:space="preserve">中共安岳县委巡察工作领导小组办公室  </w:t>
      </w:r>
      <w:r>
        <w:rPr>
          <w:rFonts w:hint="eastAsia" w:eastAsia="楷体_GB2312"/>
          <w:b/>
          <w:bCs/>
          <w:spacing w:val="-20"/>
          <w:kern w:val="0"/>
          <w:sz w:val="20"/>
          <w:szCs w:val="20"/>
          <w:lang w:val="en-US" w:eastAsia="zh-CN"/>
        </w:rPr>
        <w:t xml:space="preserve">       </w:t>
      </w:r>
      <w:r>
        <w:rPr>
          <w:rFonts w:hint="eastAsia" w:ascii="Times New Roman" w:hAnsi="Times New Roman" w:eastAsia="楷体_GB2312"/>
          <w:b/>
          <w:bCs/>
          <w:kern w:val="0"/>
          <w:sz w:val="20"/>
          <w:szCs w:val="20"/>
          <w:lang w:val="en-US" w:eastAsia="zh-CN"/>
        </w:rPr>
        <w:t>预算单位编码：103102      自评等级：</w:t>
      </w:r>
      <w:r>
        <w:rPr>
          <w:rFonts w:hint="eastAsia" w:ascii="Times New Roman" w:hAnsi="Times New Roman" w:eastAsia="楷体_GB2312"/>
          <w:b/>
          <w:bCs/>
          <w:spacing w:val="-20"/>
          <w:kern w:val="0"/>
          <w:sz w:val="20"/>
          <w:szCs w:val="20"/>
          <w:lang w:val="en-US" w:eastAsia="zh-CN"/>
        </w:rPr>
        <w:t>优</w:t>
      </w:r>
      <w:r>
        <w:rPr>
          <w:rFonts w:hint="eastAsia" w:ascii="宋体" w:hAnsi="宋体" w:eastAsia="方正楷体_GBK" w:cs="方正楷体_GBK"/>
          <w:b/>
          <w:color w:val="000000"/>
          <w:kern w:val="0"/>
          <w:sz w:val="24"/>
          <w:szCs w:val="24"/>
        </w:rPr>
        <w:t xml:space="preserve"> </w:t>
      </w:r>
      <w:r>
        <w:rPr>
          <w:rFonts w:ascii="宋体" w:hAnsi="宋体" w:eastAsia="楷体_GB2312"/>
          <w:b/>
          <w:bCs/>
          <w:kern w:val="0"/>
          <w:sz w:val="20"/>
          <w:szCs w:val="20"/>
        </w:rPr>
        <w:t xml:space="preserve">         </w:t>
      </w:r>
    </w:p>
    <w:tbl>
      <w:tblPr>
        <w:tblStyle w:val="18"/>
        <w:tblW w:w="5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714"/>
        <w:gridCol w:w="669"/>
        <w:gridCol w:w="1643"/>
        <w:gridCol w:w="3655"/>
        <w:gridCol w:w="66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349"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371"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348"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w:t>
            </w:r>
          </w:p>
        </w:tc>
        <w:tc>
          <w:tcPr>
            <w:tcW w:w="855"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903"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指标说明（评价计分标准）</w:t>
            </w:r>
          </w:p>
        </w:tc>
        <w:tc>
          <w:tcPr>
            <w:tcW w:w="343"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分数</w:t>
            </w:r>
          </w:p>
        </w:tc>
        <w:tc>
          <w:tcPr>
            <w:tcW w:w="827"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349"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投   入（25分）</w:t>
            </w: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立项（15分）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项目立项规范性（5分）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项目的申请、设立过程是否符合相关要求，用以反映和考核项目立项的规范情况。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①项目是否按照规定的程序申请设立；（1分）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②所提交的文件、材料是否符合相关要求；（2分）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③事前是否已经过必要的可行性研究、专家论证、风险评估、集体决策等。（2分）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绩效目标合理性（4分）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项目所设定的绩效目标是否依据充分，是否符合客观实际，用以反映和考核项目绩效目标与项目实施的相符情况。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①是否符合国家相关法律法规、国民经济发展规划和党委政府决策；（1分）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②是否与项目实施单位或委托单位职责密切相关；（1分）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③项目是否为促进事业发展所必需；（1分）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④项目预期产出效益和效果是否符合正常的业绩水平。（1分）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年度工作计划及职能职责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绩效指标明确性（6分）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依据绩效目标设定的绩效指标是否清晰、细化、可衡量等，用以反映和考核项目绩效目标的明细化情况。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①是否将项目绩效目标细化分解为具体的绩效指标；（2分）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②是否通过清晰、可衡量的指标值予以体现；（1分）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③是否与项目年度任务数或计划数相对应；（1分）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④是否与预算确定的项目投资额或资金量相匹配。（2分）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落实（10分）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资金到位率（5分）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实际到位资金与计划投入资金的比率，用以反映和考核资金落实情况对项目实施的总体保障程度。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资金到位率=（实际到位资金/计划投入资金）×100%。（达到目标值得5分，每少一个百分点扣1分，扣完为止）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实际到位资金：一定时期（本年度或项目期）内实际落实到具体项目的资金。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计划投入资金：一定时期（本年度或项目期）内计划投入到具体项目的资金。</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pStyle w:val="6"/>
              <w:spacing w:line="240" w:lineRule="auto"/>
              <w:jc w:val="center"/>
              <w:rPr>
                <w:rFonts w:hint="eastAsia" w:ascii="宋体" w:hAnsi="宋体" w:eastAsia="宋体" w:cs="宋体"/>
                <w:sz w:val="20"/>
                <w:szCs w:val="20"/>
              </w:rPr>
            </w:pPr>
            <w:r>
              <w:rPr>
                <w:rFonts w:hint="eastAsia" w:ascii="宋体" w:hAnsi="宋体" w:eastAsia="宋体" w:cs="宋体"/>
                <w:sz w:val="20"/>
                <w:szCs w:val="20"/>
                <w:lang w:val="en-US" w:eastAsia="zh-CN"/>
              </w:rPr>
              <w:t>104.12</w:t>
            </w:r>
            <w:r>
              <w:rPr>
                <w:rFonts w:hint="eastAsia" w:ascii="宋体" w:hAnsi="宋体" w:eastAsia="宋体" w:cs="宋体"/>
                <w:sz w:val="20"/>
                <w:szCs w:val="20"/>
              </w:rPr>
              <w:t>万元/</w:t>
            </w:r>
            <w:r>
              <w:rPr>
                <w:rFonts w:hint="eastAsia" w:ascii="宋体" w:hAnsi="宋体" w:eastAsia="宋体" w:cs="宋体"/>
                <w:sz w:val="20"/>
                <w:szCs w:val="20"/>
                <w:lang w:val="en-US" w:eastAsia="zh-CN"/>
              </w:rPr>
              <w:t>104.12</w:t>
            </w:r>
            <w:r>
              <w:rPr>
                <w:rFonts w:hint="eastAsia" w:ascii="宋体" w:hAnsi="宋体" w:eastAsia="宋体" w:cs="宋体"/>
                <w:sz w:val="20"/>
                <w:szCs w:val="20"/>
              </w:rPr>
              <w:t>万元*100%=100%</w:t>
            </w:r>
          </w:p>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到位及时率（5分）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及时到位资金与应到位资金的比率，用以反映和考核项目资金落实的及时性程度。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到位及时率=（及时到位资金/应到位资金）×100%。（达到目标值得5分，每少一个百分点扣1分，扣完为止）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及时到位资金：截至规定时点实际落实到具体项目的资金。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应到位资金：按照合同或项目进度要求截至规定时点应落实到具体项目的资金。</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pStyle w:val="6"/>
              <w:spacing w:line="240" w:lineRule="auto"/>
              <w:jc w:val="center"/>
              <w:rPr>
                <w:rFonts w:hint="eastAsia" w:ascii="宋体" w:hAnsi="宋体" w:eastAsia="宋体" w:cs="宋体"/>
                <w:sz w:val="20"/>
                <w:szCs w:val="20"/>
              </w:rPr>
            </w:pPr>
            <w:r>
              <w:rPr>
                <w:rFonts w:hint="eastAsia" w:ascii="宋体" w:hAnsi="宋体" w:eastAsia="宋体" w:cs="宋体"/>
                <w:sz w:val="20"/>
                <w:szCs w:val="20"/>
                <w:lang w:val="en-US" w:eastAsia="zh-CN"/>
              </w:rPr>
              <w:t>104.12</w:t>
            </w:r>
            <w:r>
              <w:rPr>
                <w:rFonts w:hint="eastAsia" w:ascii="宋体" w:hAnsi="宋体" w:eastAsia="宋体" w:cs="宋体"/>
                <w:sz w:val="20"/>
                <w:szCs w:val="20"/>
              </w:rPr>
              <w:t>万元/</w:t>
            </w:r>
            <w:r>
              <w:rPr>
                <w:rFonts w:hint="eastAsia" w:ascii="宋体" w:hAnsi="宋体" w:eastAsia="宋体" w:cs="宋体"/>
                <w:sz w:val="20"/>
                <w:szCs w:val="20"/>
                <w:lang w:val="en-US" w:eastAsia="zh-CN"/>
              </w:rPr>
              <w:t>104.12</w:t>
            </w:r>
            <w:r>
              <w:rPr>
                <w:rFonts w:hint="eastAsia" w:ascii="宋体" w:hAnsi="宋体" w:eastAsia="宋体" w:cs="宋体"/>
                <w:sz w:val="20"/>
                <w:szCs w:val="20"/>
              </w:rPr>
              <w:t>万元*100%=100%</w:t>
            </w:r>
          </w:p>
          <w:p>
            <w:pPr>
              <w:widowControl/>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49"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过   程（25分）</w:t>
            </w: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业务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管理（13分）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管理制度健全性（4分）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项目实施单位的业务管理制度是否健全，用以反映和考核业务管理制度对项目顺利实施的保障情况。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①是否已制定或具有相应的业务管理制度；（2分）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②业务管理制度是否合法、合规、完整。（2分）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制度执行有效性（6分)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项目实施是否符合相关业务管理规定，用以反映和考核业务管理制度的有效执行情况。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①是否遵守相关法律法规和业务管理规定；(1分）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②项目调整及支出调整手续是否完备；（1分）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③项目合同书、验收报告、技术鉴定等资料是否齐全并及时归档；（2分）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④项目实施的人员条件、场地设备、信息支撑等是否落实到位。（2分）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27"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巡察经费管理办法</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单位内控制度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项目质量可控性（3分）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项目实施单位是否为达到项目质量要求而采取了必需的措施,用以反映和考核项目实施单位对项目质量的控制情况。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①是否已制定或具有相应的项目质量要求或标准；（1分）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②是否采取了相应的项目质量检查、验收等必需的控制措施或手段。（2分）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管理（12分）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管理制度健全性（3分）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项目实施单位的财务制度是否健全，用以反映和考核财务管理制度对资金规范、安全运行的保障情况。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①是否已制定或具有相应的项目资金管理办法；（2分）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②项目资金管理办法是否符合相关财务会计制度的规定。（1分）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巡察经费管理办法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资金使用合规性（7分）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项目资金使用是否符合相关的财务管理制度规定，用以反映和考核项目资金的规范运行情况。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①是否符合国家财经法规和财务管理制度以及有关专项资金管理办法的规定；（1分）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②资金的拨付是否有完整的审批程序和手续；（2分）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③项目的重大开支是否经过评估认证；（1分）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④是否符合项目预算批复或合同规定的用途；（1分）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⑤是否存在截留、挤占、挪用、虚列支出等情况。（2分）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巡察经费管理办法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财务监控有效性（2分）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项目实施单位是否为保障资金的安全、规范运行而采取了必要的监控措施，用以反映和考核项目实施单位对资金运行的控制情况。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①是否已制定或具有相应的监控机制；（1分）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②是否采取了相应的财务检查等必要的监控措施或手段。（1分）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开展内部审计，半年项目绩效监控分析。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349"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产   出（20分）</w:t>
            </w: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产出（20分）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实际完成率（4分）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项目实施的实际产出数与计划产出数的比率，用以反映和考核项目产出数量目标的实现程度。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spacing w:val="-14"/>
                <w:kern w:val="0"/>
                <w:sz w:val="20"/>
                <w:szCs w:val="20"/>
              </w:rPr>
              <w:t>实际完成率=（实际产出数/计划产出数）×100%。（得分=实际完成率*4分）</w:t>
            </w:r>
            <w:r>
              <w:rPr>
                <w:rFonts w:hint="eastAsia" w:ascii="宋体" w:hAnsi="宋体" w:eastAsia="宋体" w:cs="宋体"/>
                <w:spacing w:val="-14"/>
                <w:kern w:val="0"/>
                <w:sz w:val="20"/>
                <w:szCs w:val="20"/>
              </w:rPr>
              <w:br w:type="textWrapping"/>
            </w:r>
            <w:r>
              <w:rPr>
                <w:rFonts w:hint="eastAsia" w:ascii="宋体" w:hAnsi="宋体" w:eastAsia="宋体" w:cs="宋体"/>
                <w:spacing w:val="-14"/>
                <w:kern w:val="0"/>
                <w:sz w:val="20"/>
                <w:szCs w:val="20"/>
              </w:rPr>
              <w:t>实际产出数：一定时期（本年度或项目期）内项目实际产出的产品或提供的服务数量。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计划产出数：项目绩效目标确定的在一定时期（本年度或项目期）内计划产出的产品或提供的服务数量。</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27"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spacing w:val="-14"/>
                <w:kern w:val="0"/>
                <w:sz w:val="20"/>
                <w:szCs w:val="20"/>
                <w:lang w:val="en-US" w:eastAsia="zh-CN"/>
              </w:rPr>
              <w:t>年终部门决算报表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完成及时率（6分）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项目实际提前完成时间与计划完成时间的比率，用以反映和考核项目产出时效目标的实现程度。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完成及时率=[（计划完成时间-实际完成时间）/计划完成时间]×100%。（1--4季度各得1.5分）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实际完成时间：项目实施单位完成该项目实际所耗用的时间。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计划完成时间：按照项目实施计划或相关规定完成该项目所需的时间。</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spacing w:val="-14"/>
                <w:kern w:val="0"/>
                <w:sz w:val="20"/>
                <w:szCs w:val="20"/>
                <w:lang w:val="en-US" w:eastAsia="zh-CN"/>
              </w:rPr>
              <w:t>年终部门决算报表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质量达标率（5分）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项目完成的质量达标产出数与实际产出数的比率，用以反映和考核项目产出质量目标的实现程度。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质量达标率=（质量达标产出数/实际产出数）×100%。（得分=达标率*5分）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质量达标产出数：一定时期（本年度或项目期）内实际达到既定质量标准的产品或服务数量。</w:t>
            </w:r>
            <w:r>
              <w:rPr>
                <w:rFonts w:hint="eastAsia" w:ascii="宋体" w:hAnsi="宋体" w:eastAsia="宋体" w:cs="宋体"/>
                <w:kern w:val="0"/>
                <w:sz w:val="20"/>
                <w:szCs w:val="20"/>
              </w:rPr>
              <w:br w:type="textWrapping"/>
            </w:r>
            <w:r>
              <w:rPr>
                <w:rFonts w:hint="eastAsia" w:ascii="宋体" w:hAnsi="宋体" w:eastAsia="宋体" w:cs="宋体"/>
                <w:spacing w:val="-10"/>
                <w:kern w:val="0"/>
                <w:sz w:val="20"/>
                <w:szCs w:val="20"/>
              </w:rPr>
              <w:t>既定质量标准是指项目实施单位设立绩效目标时依据计划标准、行业标准、历史标准或其他标准而设定的绩效指标值。</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spacing w:val="-14"/>
                <w:kern w:val="0"/>
                <w:sz w:val="20"/>
                <w:szCs w:val="20"/>
                <w:lang w:val="en-US" w:eastAsia="zh-CN"/>
              </w:rPr>
              <w:t>年终部门决算报表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成本节约率（5分）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完成项目计划工作目标的实际节约成本与计划成本的比率，用以反映和考核项目的成本节约程度。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成本节约率=[（计划成本-实际成本）/计划成本]×100%。(节约的计5分,增加的按比例扣分)</w:t>
            </w:r>
            <w:r>
              <w:rPr>
                <w:rFonts w:hint="eastAsia" w:ascii="宋体" w:hAnsi="宋体" w:eastAsia="宋体" w:cs="宋体"/>
                <w:kern w:val="0"/>
                <w:sz w:val="20"/>
                <w:szCs w:val="20"/>
              </w:rPr>
              <w:br w:type="textWrapping"/>
            </w:r>
            <w:r>
              <w:rPr>
                <w:rFonts w:hint="eastAsia" w:ascii="宋体" w:hAnsi="宋体" w:eastAsia="宋体" w:cs="宋体"/>
                <w:spacing w:val="-10"/>
                <w:kern w:val="0"/>
                <w:sz w:val="20"/>
                <w:szCs w:val="20"/>
              </w:rPr>
              <w:t>实际成本：项目实施单位如期、保质、保量完成既定工作目标实际所耗费的支出。</w:t>
            </w:r>
            <w:r>
              <w:rPr>
                <w:rFonts w:hint="eastAsia" w:ascii="宋体" w:hAnsi="宋体" w:eastAsia="宋体" w:cs="宋体"/>
                <w:spacing w:val="-10"/>
                <w:kern w:val="0"/>
                <w:sz w:val="20"/>
                <w:szCs w:val="20"/>
              </w:rPr>
              <w:br w:type="textWrapping"/>
            </w:r>
            <w:r>
              <w:rPr>
                <w:rFonts w:hint="eastAsia" w:ascii="宋体" w:hAnsi="宋体" w:eastAsia="宋体" w:cs="宋体"/>
                <w:spacing w:val="-10"/>
                <w:kern w:val="0"/>
                <w:sz w:val="20"/>
                <w:szCs w:val="20"/>
              </w:rPr>
              <w:t>计划成本：项目实施单位为完成工作目标计划安排的支出，一般以项目预算为参考。</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spacing w:val="-14"/>
                <w:kern w:val="0"/>
                <w:sz w:val="20"/>
                <w:szCs w:val="20"/>
                <w:lang w:val="en-US" w:eastAsia="zh-CN"/>
              </w:rPr>
              <w:t>年终部门决算报表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49"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   果（30分）</w:t>
            </w: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效益（</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0分）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经济效益</w:t>
            </w:r>
          </w:p>
        </w:tc>
        <w:tc>
          <w:tcPr>
            <w:tcW w:w="855" w:type="pct"/>
            <w:shd w:val="clear" w:color="000000" w:fill="FFFFFF"/>
            <w:noWrap w:val="0"/>
            <w:vAlign w:val="center"/>
          </w:tcPr>
          <w:p>
            <w:pPr>
              <w:widowControl/>
              <w:jc w:val="center"/>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项目实施对经济发展所带来的直接或间接影响情况。</w:t>
            </w:r>
          </w:p>
        </w:tc>
        <w:tc>
          <w:tcPr>
            <w:tcW w:w="1903"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p>
        </w:tc>
        <w:tc>
          <w:tcPr>
            <w:tcW w:w="343"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27"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spacing w:val="-10"/>
                <w:kern w:val="0"/>
                <w:sz w:val="20"/>
                <w:szCs w:val="20"/>
                <w:lang w:val="en-US" w:eastAsia="zh-CN"/>
              </w:rPr>
              <w:t>通过巡察，收缴被巡察单位</w:t>
            </w:r>
            <w:r>
              <w:rPr>
                <w:rFonts w:hint="eastAsia" w:ascii="宋体" w:hAnsi="宋体" w:eastAsia="宋体" w:cs="宋体"/>
                <w:spacing w:val="-10"/>
                <w:kern w:val="0"/>
                <w:sz w:val="20"/>
                <w:szCs w:val="20"/>
              </w:rPr>
              <w:t>清退资金290.63万余元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社会效益</w:t>
            </w:r>
          </w:p>
        </w:tc>
        <w:tc>
          <w:tcPr>
            <w:tcW w:w="855" w:type="pct"/>
            <w:shd w:val="clear" w:color="000000" w:fill="FFFFFF"/>
            <w:noWrap w:val="0"/>
            <w:vAlign w:val="center"/>
          </w:tcPr>
          <w:p>
            <w:pPr>
              <w:widowControl/>
              <w:jc w:val="center"/>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项目实施对社会发展所带来的直接或间接影响情况。</w:t>
            </w:r>
          </w:p>
        </w:tc>
        <w:tc>
          <w:tcPr>
            <w:tcW w:w="1903" w:type="pct"/>
            <w:vMerge w:val="continue"/>
            <w:noWrap w:val="0"/>
            <w:vAlign w:val="center"/>
          </w:tcPr>
          <w:p>
            <w:pPr>
              <w:widowControl/>
              <w:jc w:val="center"/>
              <w:rPr>
                <w:rFonts w:hint="eastAsia" w:ascii="宋体" w:hAnsi="宋体" w:eastAsia="宋体" w:cs="宋体"/>
                <w:kern w:val="0"/>
                <w:sz w:val="20"/>
                <w:szCs w:val="20"/>
              </w:rPr>
            </w:pPr>
          </w:p>
        </w:tc>
        <w:tc>
          <w:tcPr>
            <w:tcW w:w="343" w:type="pct"/>
            <w:noWrap/>
            <w:vAlign w:val="center"/>
          </w:tcPr>
          <w:p>
            <w:pPr>
              <w:widowControl/>
              <w:jc w:val="center"/>
              <w:rPr>
                <w:rFonts w:hint="eastAsia" w:ascii="宋体" w:hAnsi="宋体" w:eastAsia="宋体" w:cs="宋体"/>
                <w:kern w:val="0"/>
                <w:sz w:val="20"/>
                <w:szCs w:val="20"/>
              </w:rPr>
            </w:pPr>
          </w:p>
        </w:tc>
        <w:tc>
          <w:tcPr>
            <w:tcW w:w="827" w:type="pct"/>
            <w:noWrap/>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生态效益</w:t>
            </w:r>
          </w:p>
        </w:tc>
        <w:tc>
          <w:tcPr>
            <w:tcW w:w="855" w:type="pct"/>
            <w:shd w:val="clear" w:color="000000" w:fill="FFFFFF"/>
            <w:noWrap w:val="0"/>
            <w:vAlign w:val="center"/>
          </w:tcPr>
          <w:p>
            <w:pPr>
              <w:widowControl/>
              <w:jc w:val="center"/>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项目实施对生态环境所带来的直接或间接影响情况。</w:t>
            </w:r>
          </w:p>
        </w:tc>
        <w:tc>
          <w:tcPr>
            <w:tcW w:w="1903" w:type="pct"/>
            <w:vMerge w:val="continue"/>
            <w:noWrap w:val="0"/>
            <w:vAlign w:val="center"/>
          </w:tcPr>
          <w:p>
            <w:pPr>
              <w:widowControl/>
              <w:jc w:val="center"/>
              <w:rPr>
                <w:rFonts w:hint="eastAsia" w:ascii="宋体" w:hAnsi="宋体" w:eastAsia="宋体" w:cs="宋体"/>
                <w:kern w:val="0"/>
                <w:sz w:val="20"/>
                <w:szCs w:val="20"/>
              </w:rPr>
            </w:pPr>
          </w:p>
        </w:tc>
        <w:tc>
          <w:tcPr>
            <w:tcW w:w="343" w:type="pct"/>
            <w:noWrap/>
            <w:vAlign w:val="center"/>
          </w:tcPr>
          <w:p>
            <w:pPr>
              <w:widowControl/>
              <w:jc w:val="center"/>
              <w:rPr>
                <w:rFonts w:hint="eastAsia" w:ascii="宋体" w:hAnsi="宋体" w:eastAsia="宋体" w:cs="宋体"/>
                <w:kern w:val="0"/>
                <w:sz w:val="20"/>
                <w:szCs w:val="20"/>
              </w:rPr>
            </w:pPr>
          </w:p>
        </w:tc>
        <w:tc>
          <w:tcPr>
            <w:tcW w:w="827" w:type="pct"/>
            <w:noWrap/>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可持续影响</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项目后续运行及成效发挥的可持续影响情况。</w:t>
            </w:r>
          </w:p>
        </w:tc>
        <w:tc>
          <w:tcPr>
            <w:tcW w:w="1903" w:type="pct"/>
            <w:vMerge w:val="continue"/>
            <w:noWrap w:val="0"/>
            <w:vAlign w:val="center"/>
          </w:tcPr>
          <w:p>
            <w:pPr>
              <w:widowControl/>
              <w:jc w:val="center"/>
              <w:rPr>
                <w:rFonts w:hint="eastAsia" w:ascii="宋体" w:hAnsi="宋体" w:eastAsia="宋体" w:cs="宋体"/>
                <w:kern w:val="0"/>
                <w:sz w:val="20"/>
                <w:szCs w:val="20"/>
              </w:rPr>
            </w:pPr>
          </w:p>
        </w:tc>
        <w:tc>
          <w:tcPr>
            <w:tcW w:w="343"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color w:val="000000"/>
                <w:kern w:val="0"/>
                <w:sz w:val="20"/>
                <w:szCs w:val="20"/>
              </w:rPr>
              <w:t>各级党组织的创造力、凝聚力、战斗力不断增强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shd w:val="clear" w:color="auto" w:fill="auto"/>
            <w:noWrap w:val="0"/>
            <w:vAlign w:val="center"/>
          </w:tcPr>
          <w:p>
            <w:pPr>
              <w:widowControl/>
              <w:jc w:val="left"/>
              <w:rPr>
                <w:rFonts w:hint="eastAsia" w:ascii="Times New Roman" w:hAnsi="Times New Roman" w:eastAsia="宋体"/>
                <w:kern w:val="0"/>
                <w:sz w:val="20"/>
                <w:szCs w:val="20"/>
                <w:highlight w:val="none"/>
                <w:lang w:val="en-US" w:eastAsia="zh-CN" w:bidi="ar-SA"/>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348" w:type="pct"/>
            <w:shd w:val="clear" w:color="000000" w:fill="FFFFFF"/>
            <w:noWrap w:val="0"/>
            <w:vAlign w:val="center"/>
          </w:tcPr>
          <w:p>
            <w:pPr>
              <w:widowControl/>
              <w:jc w:val="left"/>
              <w:rPr>
                <w:rFonts w:hint="eastAsia"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855"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1903"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343"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27" w:type="pct"/>
            <w:noWrap/>
            <w:vAlign w:val="center"/>
          </w:tcPr>
          <w:p>
            <w:pPr>
              <w:widowControl/>
              <w:jc w:val="center"/>
              <w:rPr>
                <w:rFonts w:hint="eastAsia" w:ascii="宋体" w:hAnsi="宋体" w:eastAsia="宋体" w:cs="宋体"/>
                <w:spacing w:val="-1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828" w:type="pct"/>
            <w:gridSpan w:val="5"/>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827" w:type="pct"/>
            <w:noWrap/>
            <w:vAlign w:val="center"/>
          </w:tcPr>
          <w:p>
            <w:pPr>
              <w:widowControl/>
              <w:jc w:val="center"/>
              <w:rPr>
                <w:rFonts w:hint="eastAsia" w:ascii="宋体" w:hAnsi="宋体" w:eastAsia="宋体" w:cs="宋体"/>
                <w:kern w:val="0"/>
                <w:sz w:val="20"/>
                <w:szCs w:val="20"/>
              </w:rPr>
            </w:pPr>
          </w:p>
        </w:tc>
      </w:tr>
    </w:tbl>
    <w:p>
      <w:pPr>
        <w:pStyle w:val="6"/>
        <w:spacing w:before="93"/>
        <w:rPr>
          <w:rFonts w:hAnsi="Calibri" w:cs="仿宋"/>
          <w:sz w:val="32"/>
          <w:szCs w:val="32"/>
        </w:rPr>
      </w:pPr>
    </w:p>
    <w:p>
      <w:pPr>
        <w:pStyle w:val="6"/>
        <w:spacing w:before="93"/>
        <w:rPr>
          <w:rFonts w:hAnsi="Calibri" w:cs="仿宋"/>
          <w:sz w:val="32"/>
          <w:szCs w:val="32"/>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附件4-2</w:t>
      </w:r>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年度安岳县项目支出绩效目标完成情况表</w:t>
      </w:r>
    </w:p>
    <w:p>
      <w:pPr>
        <w:pStyle w:val="2"/>
        <w:rPr>
          <w:rFonts w:hint="eastAsia"/>
          <w:lang w:eastAsia="zh-CN"/>
        </w:rPr>
      </w:pPr>
    </w:p>
    <w:tbl>
      <w:tblPr>
        <w:tblStyle w:val="18"/>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964"/>
        <w:gridCol w:w="1207"/>
        <w:gridCol w:w="242"/>
        <w:gridCol w:w="1444"/>
        <w:gridCol w:w="965"/>
        <w:gridCol w:w="144"/>
        <w:gridCol w:w="19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6" w:hRule="atLeast"/>
          <w:jc w:val="center"/>
        </w:trPr>
        <w:tc>
          <w:tcPr>
            <w:tcW w:w="890"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项目</w:t>
            </w:r>
          </w:p>
          <w:p>
            <w:pPr>
              <w:widowControl/>
              <w:jc w:val="center"/>
              <w:rPr>
                <w:rFonts w:ascii="宋体" w:hAnsi="宋体"/>
                <w:color w:val="000000"/>
                <w:kern w:val="0"/>
                <w:sz w:val="20"/>
                <w:szCs w:val="20"/>
              </w:rPr>
            </w:pPr>
            <w:r>
              <w:rPr>
                <w:rFonts w:ascii="宋体" w:hAnsi="宋体"/>
                <w:color w:val="000000"/>
                <w:kern w:val="0"/>
                <w:sz w:val="20"/>
                <w:szCs w:val="20"/>
              </w:rPr>
              <w:t>名称</w:t>
            </w:r>
          </w:p>
        </w:tc>
        <w:tc>
          <w:tcPr>
            <w:tcW w:w="8075" w:type="dxa"/>
            <w:gridSpan w:val="9"/>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县委巡察专项经费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56"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项目</w:t>
            </w:r>
          </w:p>
          <w:p>
            <w:pPr>
              <w:widowControl/>
              <w:jc w:val="center"/>
              <w:rPr>
                <w:rFonts w:ascii="宋体" w:hAnsi="宋体"/>
                <w:color w:val="000000"/>
                <w:kern w:val="0"/>
                <w:sz w:val="20"/>
                <w:szCs w:val="20"/>
              </w:rPr>
            </w:pPr>
            <w:r>
              <w:rPr>
                <w:rFonts w:ascii="宋体" w:hAnsi="宋体"/>
                <w:color w:val="000000"/>
                <w:kern w:val="0"/>
                <w:sz w:val="20"/>
                <w:szCs w:val="20"/>
              </w:rPr>
              <w:t>类型</w:t>
            </w: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产业发展</w:t>
            </w:r>
          </w:p>
        </w:tc>
        <w:tc>
          <w:tcPr>
            <w:tcW w:w="964"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民生</w:t>
            </w:r>
          </w:p>
          <w:p>
            <w:pPr>
              <w:widowControl/>
              <w:jc w:val="center"/>
              <w:rPr>
                <w:rFonts w:ascii="宋体" w:hAnsi="宋体"/>
                <w:color w:val="000000"/>
                <w:kern w:val="0"/>
                <w:sz w:val="20"/>
                <w:szCs w:val="20"/>
              </w:rPr>
            </w:pPr>
            <w:r>
              <w:rPr>
                <w:rFonts w:ascii="宋体" w:hAnsi="宋体"/>
                <w:color w:val="000000"/>
                <w:kern w:val="0"/>
                <w:sz w:val="20"/>
                <w:szCs w:val="20"/>
              </w:rPr>
              <w:t>保障</w:t>
            </w:r>
          </w:p>
        </w:tc>
        <w:tc>
          <w:tcPr>
            <w:tcW w:w="2893"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基础设施</w:t>
            </w:r>
          </w:p>
        </w:tc>
        <w:tc>
          <w:tcPr>
            <w:tcW w:w="3018"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68"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w:t>
            </w:r>
          </w:p>
        </w:tc>
        <w:tc>
          <w:tcPr>
            <w:tcW w:w="964" w:type="dxa"/>
            <w:noWrap/>
            <w:vAlign w:val="center"/>
          </w:tcPr>
          <w:p>
            <w:pPr>
              <w:jc w:val="center"/>
              <w:rPr>
                <w:rFonts w:ascii="宋体" w:hAnsi="宋体"/>
                <w:sz w:val="20"/>
                <w:szCs w:val="20"/>
              </w:rPr>
            </w:pPr>
            <w:r>
              <w:rPr>
                <w:rFonts w:ascii="宋体" w:hAnsi="宋体"/>
                <w:color w:val="000000"/>
                <w:kern w:val="0"/>
                <w:sz w:val="20"/>
                <w:szCs w:val="20"/>
              </w:rPr>
              <w:t>□</w:t>
            </w:r>
          </w:p>
        </w:tc>
        <w:tc>
          <w:tcPr>
            <w:tcW w:w="2893" w:type="dxa"/>
            <w:gridSpan w:val="3"/>
            <w:noWrap/>
            <w:vAlign w:val="center"/>
          </w:tcPr>
          <w:p>
            <w:pPr>
              <w:jc w:val="center"/>
              <w:rPr>
                <w:rFonts w:ascii="宋体" w:hAnsi="宋体"/>
                <w:sz w:val="20"/>
                <w:szCs w:val="20"/>
              </w:rPr>
            </w:pPr>
            <w:r>
              <w:rPr>
                <w:rFonts w:ascii="宋体" w:hAnsi="宋体"/>
                <w:color w:val="000000"/>
                <w:kern w:val="0"/>
                <w:sz w:val="20"/>
                <w:szCs w:val="20"/>
              </w:rPr>
              <w:t>□</w:t>
            </w:r>
          </w:p>
        </w:tc>
        <w:tc>
          <w:tcPr>
            <w:tcW w:w="3018" w:type="dxa"/>
            <w:gridSpan w:val="3"/>
            <w:noWrap/>
            <w:vAlign w:val="center"/>
          </w:tcPr>
          <w:p>
            <w:pPr>
              <w:jc w:val="center"/>
              <w:rPr>
                <w:rFonts w:hint="eastAsia" w:ascii="宋体" w:hAnsi="宋体"/>
                <w:sz w:val="20"/>
                <w:szCs w:val="20"/>
              </w:rPr>
            </w:pPr>
            <w:r>
              <w:rPr>
                <w:rFonts w:ascii="宋体" w:hAnsi="宋体"/>
                <w:color w:val="000000"/>
                <w:kern w:val="0"/>
                <w:sz w:val="20"/>
                <w:szCs w:val="20"/>
              </w:rPr>
              <w:sym w:font="Wingdings 2" w:char="0052"/>
            </w:r>
            <w:r>
              <w:rPr>
                <w:rFonts w:ascii="宋体" w:hAnsi="宋体" w:cs="Wingdings 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部门（单位）名称</w:t>
            </w:r>
          </w:p>
        </w:tc>
        <w:tc>
          <w:tcPr>
            <w:tcW w:w="5057" w:type="dxa"/>
            <w:gridSpan w:val="6"/>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中共安岳县委巡察工作领导小组办公室</w:t>
            </w:r>
          </w:p>
        </w:tc>
        <w:tc>
          <w:tcPr>
            <w:tcW w:w="1109"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预算单位编码</w:t>
            </w:r>
          </w:p>
        </w:tc>
        <w:tc>
          <w:tcPr>
            <w:tcW w:w="1909"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rPr>
              <w:t>103</w:t>
            </w:r>
            <w:r>
              <w:rPr>
                <w:rFonts w:hint="eastAsia" w:ascii="宋体" w:hAnsi="宋体"/>
                <w:color w:val="000000"/>
                <w:kern w:val="0"/>
                <w:sz w:val="20"/>
                <w:szCs w:val="20"/>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07"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预算执行情况</w:t>
            </w: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项目</w:t>
            </w:r>
          </w:p>
        </w:tc>
        <w:tc>
          <w:tcPr>
            <w:tcW w:w="964"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预算额(百元)</w:t>
            </w:r>
          </w:p>
        </w:tc>
        <w:tc>
          <w:tcPr>
            <w:tcW w:w="1207"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执行额(百元)</w:t>
            </w:r>
          </w:p>
        </w:tc>
        <w:tc>
          <w:tcPr>
            <w:tcW w:w="1686"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当年结转结余额(百元)</w:t>
            </w:r>
          </w:p>
        </w:tc>
        <w:tc>
          <w:tcPr>
            <w:tcW w:w="1109"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结转结余率%</w:t>
            </w:r>
          </w:p>
        </w:tc>
        <w:tc>
          <w:tcPr>
            <w:tcW w:w="1909"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1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合   计</w:t>
            </w:r>
          </w:p>
        </w:tc>
        <w:tc>
          <w:tcPr>
            <w:tcW w:w="964" w:type="dxa"/>
            <w:noWrap/>
            <w:vAlign w:val="center"/>
          </w:tcPr>
          <w:p>
            <w:pPr>
              <w:widowControl/>
              <w:jc w:val="center"/>
              <w:rPr>
                <w:rFonts w:hint="default" w:ascii="宋体" w:hAnsi="宋体" w:eastAsia="宋体"/>
                <w:color w:val="000000"/>
                <w:kern w:val="0"/>
                <w:sz w:val="20"/>
                <w:szCs w:val="20"/>
                <w:lang w:val="en-US" w:eastAsia="zh-CN" w:bidi="ar-SA"/>
              </w:rPr>
            </w:pPr>
            <w:r>
              <w:rPr>
                <w:rFonts w:hint="eastAsia" w:ascii="宋体" w:hAnsi="宋体"/>
                <w:color w:val="000000"/>
                <w:kern w:val="0"/>
                <w:sz w:val="20"/>
                <w:szCs w:val="20"/>
                <w:lang w:val="en-US" w:eastAsia="zh-CN"/>
              </w:rPr>
              <w:t>10412</w:t>
            </w:r>
          </w:p>
        </w:tc>
        <w:tc>
          <w:tcPr>
            <w:tcW w:w="1207" w:type="dxa"/>
            <w:noWrap/>
            <w:vAlign w:val="center"/>
          </w:tcPr>
          <w:p>
            <w:pPr>
              <w:widowControl/>
              <w:jc w:val="center"/>
              <w:rPr>
                <w:rFonts w:hint="default" w:ascii="宋体" w:hAnsi="宋体"/>
                <w:color w:val="000000"/>
                <w:kern w:val="0"/>
                <w:sz w:val="20"/>
                <w:szCs w:val="20"/>
                <w:lang w:val="en-US" w:eastAsia="zh-CN" w:bidi="ar-SA"/>
              </w:rPr>
            </w:pPr>
            <w:r>
              <w:rPr>
                <w:rFonts w:hint="eastAsia" w:ascii="宋体" w:hAnsi="宋体"/>
                <w:color w:val="000000"/>
                <w:kern w:val="0"/>
                <w:sz w:val="20"/>
                <w:szCs w:val="20"/>
                <w:lang w:val="en-US" w:eastAsia="zh-CN"/>
              </w:rPr>
              <w:t>10412</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财政拨款</w:t>
            </w:r>
          </w:p>
        </w:tc>
        <w:tc>
          <w:tcPr>
            <w:tcW w:w="964"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10412</w:t>
            </w:r>
          </w:p>
        </w:tc>
        <w:tc>
          <w:tcPr>
            <w:tcW w:w="1207" w:type="dxa"/>
            <w:noWrap/>
            <w:vAlign w:val="center"/>
          </w:tcPr>
          <w:p>
            <w:pPr>
              <w:widowControl/>
              <w:jc w:val="center"/>
              <w:rPr>
                <w:rFonts w:hint="default" w:ascii="宋体" w:hAnsi="宋体"/>
                <w:color w:val="000000"/>
                <w:kern w:val="0"/>
                <w:sz w:val="20"/>
                <w:szCs w:val="20"/>
                <w:lang w:val="en-US"/>
              </w:rPr>
            </w:pPr>
            <w:r>
              <w:rPr>
                <w:rFonts w:hint="eastAsia" w:ascii="宋体" w:hAnsi="宋体"/>
                <w:color w:val="000000"/>
                <w:kern w:val="0"/>
                <w:sz w:val="20"/>
                <w:szCs w:val="20"/>
                <w:lang w:val="en-US" w:eastAsia="zh-CN"/>
              </w:rPr>
              <w:t>10412</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5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其他资金</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207"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3"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财政拨款结构</w:t>
            </w: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项目</w:t>
            </w:r>
          </w:p>
        </w:tc>
        <w:tc>
          <w:tcPr>
            <w:tcW w:w="964"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合计</w:t>
            </w:r>
          </w:p>
        </w:tc>
        <w:tc>
          <w:tcPr>
            <w:tcW w:w="1207"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一般公共预算安排</w:t>
            </w:r>
          </w:p>
        </w:tc>
        <w:tc>
          <w:tcPr>
            <w:tcW w:w="1686"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政府性基金预算安排</w:t>
            </w:r>
          </w:p>
        </w:tc>
        <w:tc>
          <w:tcPr>
            <w:tcW w:w="1109"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国有资本经营预算安排</w:t>
            </w:r>
          </w:p>
        </w:tc>
        <w:tc>
          <w:tcPr>
            <w:tcW w:w="1909"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预算额</w:t>
            </w:r>
          </w:p>
          <w:p>
            <w:pPr>
              <w:widowControl/>
              <w:jc w:val="center"/>
              <w:rPr>
                <w:rFonts w:ascii="宋体" w:hAnsi="宋体"/>
                <w:color w:val="000000"/>
                <w:kern w:val="0"/>
                <w:sz w:val="20"/>
                <w:szCs w:val="20"/>
              </w:rPr>
            </w:pPr>
            <w:r>
              <w:rPr>
                <w:rFonts w:ascii="宋体" w:hAnsi="宋体"/>
                <w:color w:val="000000"/>
                <w:kern w:val="0"/>
                <w:sz w:val="20"/>
                <w:szCs w:val="20"/>
              </w:rPr>
              <w:t>(百元)</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lang w:val="en-US" w:eastAsia="zh-CN"/>
              </w:rPr>
              <w:t>10412</w:t>
            </w:r>
          </w:p>
        </w:tc>
        <w:tc>
          <w:tcPr>
            <w:tcW w:w="1207"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10412</w:t>
            </w:r>
          </w:p>
        </w:tc>
        <w:tc>
          <w:tcPr>
            <w:tcW w:w="1686" w:type="dxa"/>
            <w:gridSpan w:val="2"/>
            <w:noWrap/>
            <w:vAlign w:val="center"/>
          </w:tcPr>
          <w:p>
            <w:pPr>
              <w:widowControl/>
              <w:jc w:val="center"/>
              <w:rPr>
                <w:rFonts w:hint="default" w:ascii="宋体" w:hAnsi="宋体" w:eastAsia="宋体"/>
                <w:color w:val="000000"/>
                <w:kern w:val="0"/>
                <w:sz w:val="20"/>
                <w:szCs w:val="20"/>
                <w:lang w:val="en-US" w:eastAsia="zh-CN"/>
              </w:rPr>
            </w:pP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执行额</w:t>
            </w:r>
          </w:p>
          <w:p>
            <w:pPr>
              <w:widowControl/>
              <w:jc w:val="center"/>
              <w:rPr>
                <w:rFonts w:ascii="宋体" w:hAnsi="宋体"/>
                <w:color w:val="000000"/>
                <w:kern w:val="0"/>
                <w:sz w:val="20"/>
                <w:szCs w:val="20"/>
              </w:rPr>
            </w:pPr>
            <w:r>
              <w:rPr>
                <w:rFonts w:ascii="宋体" w:hAnsi="宋体"/>
                <w:color w:val="000000"/>
                <w:kern w:val="0"/>
                <w:sz w:val="20"/>
                <w:szCs w:val="20"/>
              </w:rPr>
              <w:t>(百元)</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lang w:val="en-US" w:eastAsia="zh-CN"/>
              </w:rPr>
              <w:t>10412</w:t>
            </w:r>
          </w:p>
        </w:tc>
        <w:tc>
          <w:tcPr>
            <w:tcW w:w="1207" w:type="dxa"/>
            <w:noWrap/>
            <w:vAlign w:val="center"/>
          </w:tcPr>
          <w:p>
            <w:pPr>
              <w:widowControl/>
              <w:jc w:val="center"/>
              <w:rPr>
                <w:rFonts w:hint="default" w:ascii="宋体" w:hAnsi="宋体" w:eastAsia="宋体"/>
                <w:color w:val="000000"/>
                <w:kern w:val="0"/>
                <w:sz w:val="20"/>
                <w:szCs w:val="20"/>
                <w:lang w:val="en-US" w:eastAsia="zh-CN" w:bidi="ar-SA"/>
              </w:rPr>
            </w:pPr>
            <w:r>
              <w:rPr>
                <w:rFonts w:hint="eastAsia" w:ascii="宋体" w:hAnsi="宋体"/>
                <w:color w:val="000000"/>
                <w:kern w:val="0"/>
                <w:sz w:val="20"/>
                <w:szCs w:val="20"/>
                <w:lang w:val="en-US" w:eastAsia="zh-CN"/>
              </w:rPr>
              <w:t>10412</w:t>
            </w:r>
          </w:p>
        </w:tc>
        <w:tc>
          <w:tcPr>
            <w:tcW w:w="1686" w:type="dxa"/>
            <w:gridSpan w:val="2"/>
            <w:noWrap/>
            <w:vAlign w:val="center"/>
          </w:tcPr>
          <w:p>
            <w:pPr>
              <w:widowControl/>
              <w:jc w:val="center"/>
              <w:rPr>
                <w:rFonts w:ascii="宋体" w:hAnsi="宋体"/>
                <w:color w:val="000000"/>
                <w:kern w:val="0"/>
                <w:sz w:val="20"/>
                <w:szCs w:val="20"/>
                <w:lang w:val="en-US" w:eastAsia="zh-CN" w:bidi="ar-SA"/>
              </w:rPr>
            </w:pP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当年结转结余额(百元)</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207"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结转结余率%</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207"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结转结余变动率%</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207"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53"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年度总体目标</w:t>
            </w:r>
          </w:p>
        </w:tc>
        <w:tc>
          <w:tcPr>
            <w:tcW w:w="2164"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预算总体目标</w:t>
            </w:r>
          </w:p>
        </w:tc>
        <w:tc>
          <w:tcPr>
            <w:tcW w:w="2893" w:type="dxa"/>
            <w:gridSpan w:val="3"/>
            <w:noWrap/>
            <w:vAlign w:val="center"/>
          </w:tcPr>
          <w:p>
            <w:pPr>
              <w:rPr>
                <w:rFonts w:hint="eastAsia" w:ascii="宋体" w:hAnsi="宋体" w:eastAsia="宋体" w:cs="Times New Roman"/>
                <w:color w:val="000000"/>
                <w:kern w:val="0"/>
                <w:sz w:val="20"/>
                <w:szCs w:val="20"/>
                <w:lang w:val="en-US" w:eastAsia="zh-CN"/>
              </w:rPr>
            </w:pPr>
            <w:r>
              <w:rPr>
                <w:rFonts w:hint="eastAsia" w:ascii="宋体" w:hAnsi="宋体" w:eastAsia="宋体" w:cs="Times New Roman"/>
                <w:color w:val="000000"/>
                <w:kern w:val="0"/>
                <w:sz w:val="20"/>
                <w:szCs w:val="20"/>
                <w:lang w:val="en-US" w:eastAsia="zh-CN"/>
              </w:rPr>
              <w:t>预算总体目标执行结果</w:t>
            </w:r>
          </w:p>
        </w:tc>
        <w:tc>
          <w:tcPr>
            <w:tcW w:w="3018"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57"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2164" w:type="dxa"/>
            <w:gridSpan w:val="3"/>
            <w:noWrap/>
            <w:vAlign w:val="center"/>
          </w:tcPr>
          <w:p>
            <w:pPr>
              <w:widowControl/>
              <w:jc w:val="left"/>
              <w:rPr>
                <w:rFonts w:ascii="宋体" w:hAnsi="宋体"/>
                <w:color w:val="000000"/>
                <w:kern w:val="0"/>
                <w:sz w:val="20"/>
                <w:szCs w:val="20"/>
              </w:rPr>
            </w:pPr>
            <w:r>
              <w:rPr>
                <w:rFonts w:hint="eastAsia" w:ascii="宋体" w:hAnsi="宋体" w:eastAsia="宋体" w:cs="Times New Roman"/>
                <w:color w:val="000000"/>
                <w:kern w:val="0"/>
                <w:sz w:val="20"/>
                <w:szCs w:val="20"/>
                <w:lang w:val="en-US" w:eastAsia="zh-CN"/>
              </w:rPr>
              <w:t>通过认真贯彻落实中央、省委和市委巡视巡察新精神新部署要求，紧盯目标任务，精心谋划组织，扎实推进巡察全覆盖，确保有形覆盖、有效覆盖相统一，政治监督不断走向具体化、常态化，推动中心工作落地落实。</w:t>
            </w:r>
          </w:p>
        </w:tc>
        <w:tc>
          <w:tcPr>
            <w:tcW w:w="2893" w:type="dxa"/>
            <w:gridSpan w:val="3"/>
            <w:noWrap/>
            <w:vAlign w:val="center"/>
          </w:tcPr>
          <w:p>
            <w:pPr>
              <w:rPr>
                <w:rFonts w:hint="eastAsia" w:ascii="宋体" w:hAnsi="宋体" w:eastAsia="宋体" w:cs="Times New Roman"/>
                <w:color w:val="000000"/>
                <w:kern w:val="0"/>
                <w:sz w:val="20"/>
                <w:szCs w:val="20"/>
                <w:lang w:val="en-US" w:eastAsia="zh-CN"/>
              </w:rPr>
            </w:pPr>
            <w:r>
              <w:rPr>
                <w:rFonts w:hint="eastAsia" w:ascii="宋体" w:hAnsi="宋体" w:eastAsia="宋体" w:cs="Times New Roman"/>
                <w:color w:val="000000"/>
                <w:kern w:val="0"/>
                <w:sz w:val="20"/>
                <w:szCs w:val="20"/>
                <w:lang w:val="en-US" w:eastAsia="zh-CN"/>
              </w:rPr>
              <w:t>开展3轮常规巡察、1轮村（社区）专项巡察和1轮道路交通安全领域纪律作风专项巡察。对19个县级部门，15个乡镇开展了常规巡察，对26个Ⅰ类村（社区）开展监督，2023年共抽调92余人次参加县委巡察，累计开展4次培训，共计170余人次参加。</w:t>
            </w:r>
          </w:p>
          <w:p>
            <w:pPr>
              <w:rPr>
                <w:rFonts w:hint="eastAsia" w:ascii="宋体" w:hAnsi="宋体" w:eastAsia="宋体" w:cs="Times New Roman"/>
                <w:color w:val="000000"/>
                <w:kern w:val="0"/>
                <w:sz w:val="20"/>
                <w:szCs w:val="20"/>
                <w:lang w:val="en-US" w:eastAsia="zh-CN"/>
              </w:rPr>
            </w:pPr>
          </w:p>
        </w:tc>
        <w:tc>
          <w:tcPr>
            <w:tcW w:w="3018" w:type="dxa"/>
            <w:gridSpan w:val="3"/>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年度绩</w:t>
            </w:r>
          </w:p>
          <w:p>
            <w:pPr>
              <w:widowControl/>
              <w:jc w:val="center"/>
              <w:rPr>
                <w:rFonts w:ascii="宋体" w:hAnsi="宋体"/>
                <w:color w:val="000000"/>
                <w:kern w:val="0"/>
                <w:sz w:val="20"/>
                <w:szCs w:val="20"/>
              </w:rPr>
            </w:pPr>
            <w:r>
              <w:rPr>
                <w:rFonts w:ascii="宋体" w:hAnsi="宋体"/>
                <w:color w:val="000000"/>
                <w:kern w:val="0"/>
                <w:sz w:val="20"/>
                <w:szCs w:val="20"/>
              </w:rPr>
              <w:t>效指标</w:t>
            </w:r>
          </w:p>
        </w:tc>
        <w:tc>
          <w:tcPr>
            <w:tcW w:w="847"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一级</w:t>
            </w:r>
          </w:p>
          <w:p>
            <w:pPr>
              <w:widowControl/>
              <w:jc w:val="center"/>
              <w:rPr>
                <w:rFonts w:ascii="宋体" w:hAnsi="宋体"/>
                <w:color w:val="000000"/>
                <w:kern w:val="0"/>
                <w:sz w:val="20"/>
                <w:szCs w:val="20"/>
              </w:rPr>
            </w:pPr>
            <w:r>
              <w:rPr>
                <w:rFonts w:ascii="宋体" w:hAnsi="宋体"/>
                <w:color w:val="000000"/>
                <w:kern w:val="0"/>
                <w:sz w:val="20"/>
                <w:szCs w:val="20"/>
              </w:rPr>
              <w:t>指标</w:t>
            </w:r>
          </w:p>
        </w:tc>
        <w:tc>
          <w:tcPr>
            <w:tcW w:w="1317"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二级指标</w:t>
            </w:r>
          </w:p>
        </w:tc>
        <w:tc>
          <w:tcPr>
            <w:tcW w:w="1449"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三级</w:t>
            </w:r>
          </w:p>
          <w:p>
            <w:pPr>
              <w:widowControl/>
              <w:jc w:val="center"/>
              <w:rPr>
                <w:rFonts w:ascii="宋体" w:hAnsi="宋体"/>
                <w:color w:val="000000"/>
                <w:kern w:val="0"/>
                <w:sz w:val="20"/>
                <w:szCs w:val="20"/>
              </w:rPr>
            </w:pPr>
            <w:r>
              <w:rPr>
                <w:rFonts w:ascii="宋体" w:hAnsi="宋体"/>
                <w:color w:val="000000"/>
                <w:kern w:val="0"/>
                <w:sz w:val="20"/>
                <w:szCs w:val="20"/>
              </w:rPr>
              <w:t>指标</w:t>
            </w:r>
          </w:p>
        </w:tc>
        <w:tc>
          <w:tcPr>
            <w:tcW w:w="1444"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预算指标值(包含数字及文字描述)</w:t>
            </w:r>
          </w:p>
        </w:tc>
        <w:tc>
          <w:tcPr>
            <w:tcW w:w="965"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预算指标值执行结果(包含数字及文字描述)</w:t>
            </w:r>
          </w:p>
        </w:tc>
        <w:tc>
          <w:tcPr>
            <w:tcW w:w="2066"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restart"/>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项目</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完成</w:t>
            </w:r>
          </w:p>
        </w:tc>
        <w:tc>
          <w:tcPr>
            <w:tcW w:w="1317" w:type="dxa"/>
            <w:gridSpan w:val="2"/>
            <w:vMerge w:val="restart"/>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数量</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20"/>
                <w:szCs w:val="20"/>
              </w:rPr>
            </w:pPr>
            <w:r>
              <w:rPr>
                <w:rFonts w:hint="eastAsia" w:ascii="宋体" w:hAnsi="宋体" w:eastAsia="宋体" w:cs="宋体"/>
                <w:i w:val="0"/>
                <w:iCs w:val="0"/>
                <w:color w:val="auto"/>
                <w:w w:val="66"/>
                <w:kern w:val="0"/>
                <w:sz w:val="20"/>
                <w:szCs w:val="20"/>
                <w:u w:val="none"/>
                <w:lang w:val="en-US" w:eastAsia="zh-CN" w:bidi="ar"/>
              </w:rPr>
              <w:t>全年巡察培训</w:t>
            </w:r>
            <w:r>
              <w:rPr>
                <w:rFonts w:hint="eastAsia" w:ascii="宋体" w:hAnsi="宋体" w:cs="宋体"/>
                <w:i w:val="0"/>
                <w:iCs w:val="0"/>
                <w:color w:val="auto"/>
                <w:w w:val="66"/>
                <w:kern w:val="0"/>
                <w:sz w:val="20"/>
                <w:szCs w:val="20"/>
                <w:u w:val="none"/>
                <w:lang w:val="en-US" w:eastAsia="zh-CN" w:bidi="ar"/>
              </w:rPr>
              <w:t>（期）</w:t>
            </w:r>
          </w:p>
        </w:tc>
        <w:tc>
          <w:tcPr>
            <w:tcW w:w="1444" w:type="dxa"/>
            <w:noWrap/>
            <w:vAlign w:val="center"/>
          </w:tcPr>
          <w:p>
            <w:pPr>
              <w:keepNext w:val="0"/>
              <w:keepLines w:val="0"/>
              <w:widowControl/>
              <w:suppressLineNumbers w:val="0"/>
              <w:jc w:val="center"/>
              <w:textAlignment w:val="center"/>
              <w:rPr>
                <w:rFonts w:hint="default" w:ascii="宋体" w:hAnsi="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3</w:t>
            </w:r>
          </w:p>
        </w:tc>
        <w:tc>
          <w:tcPr>
            <w:tcW w:w="965"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4</w:t>
            </w:r>
          </w:p>
        </w:tc>
        <w:tc>
          <w:tcPr>
            <w:tcW w:w="2066" w:type="dxa"/>
            <w:gridSpan w:val="3"/>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ign w:val="center"/>
          </w:tcPr>
          <w:p>
            <w:pPr>
              <w:widowControl/>
              <w:jc w:val="center"/>
              <w:rPr>
                <w:rFonts w:hint="eastAsia" w:ascii="宋体" w:hAnsi="宋体"/>
                <w:color w:val="000000"/>
                <w:kern w:val="0"/>
                <w:sz w:val="20"/>
                <w:szCs w:val="20"/>
              </w:rPr>
            </w:pPr>
          </w:p>
        </w:tc>
        <w:tc>
          <w:tcPr>
            <w:tcW w:w="1317" w:type="dxa"/>
            <w:gridSpan w:val="2"/>
            <w:vMerge w:val="continue"/>
            <w:noWrap/>
            <w:vAlign w:val="center"/>
          </w:tcPr>
          <w:p>
            <w:pPr>
              <w:widowControl/>
              <w:jc w:val="center"/>
              <w:rPr>
                <w:rFonts w:hint="eastAsia" w:ascii="宋体" w:hAnsi="宋体"/>
                <w:color w:val="000000"/>
                <w:kern w:val="0"/>
                <w:sz w:val="20"/>
                <w:szCs w:val="20"/>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20"/>
                <w:szCs w:val="20"/>
                <w:lang w:val="en-US" w:eastAsia="zh-CN" w:bidi="ar-SA"/>
              </w:rPr>
            </w:pPr>
            <w:r>
              <w:rPr>
                <w:rFonts w:hint="eastAsia" w:ascii="宋体" w:hAnsi="宋体" w:eastAsia="宋体" w:cs="宋体"/>
                <w:i w:val="0"/>
                <w:iCs w:val="0"/>
                <w:color w:val="auto"/>
                <w:w w:val="66"/>
                <w:kern w:val="0"/>
                <w:sz w:val="20"/>
                <w:szCs w:val="20"/>
                <w:u w:val="none"/>
                <w:lang w:val="en-US" w:eastAsia="zh-CN" w:bidi="ar"/>
              </w:rPr>
              <w:t>全年巡察单位（部门）个数</w:t>
            </w:r>
          </w:p>
        </w:tc>
        <w:tc>
          <w:tcPr>
            <w:tcW w:w="1444" w:type="dxa"/>
            <w:noWrap/>
            <w:vAlign w:val="center"/>
          </w:tcPr>
          <w:p>
            <w:pPr>
              <w:keepNext w:val="0"/>
              <w:keepLines w:val="0"/>
              <w:widowControl/>
              <w:suppressLineNumbers w:val="0"/>
              <w:jc w:val="center"/>
              <w:textAlignment w:val="center"/>
              <w:rPr>
                <w:rFonts w:hint="eastAsia" w:ascii="宋体" w:hAnsi="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30</w:t>
            </w:r>
          </w:p>
        </w:tc>
        <w:tc>
          <w:tcPr>
            <w:tcW w:w="965" w:type="dxa"/>
            <w:noWrap/>
            <w:vAlign w:val="center"/>
          </w:tcPr>
          <w:p>
            <w:pPr>
              <w:widowControl/>
              <w:jc w:val="center"/>
              <w:rPr>
                <w:rFonts w:hint="default" w:ascii="宋体" w:hAnsi="宋体" w:eastAsia="宋体"/>
                <w:color w:val="000000"/>
                <w:kern w:val="0"/>
                <w:sz w:val="20"/>
                <w:szCs w:val="20"/>
                <w:lang w:val="en-US" w:eastAsia="zh-CN" w:bidi="ar-SA"/>
              </w:rPr>
            </w:pPr>
            <w:r>
              <w:rPr>
                <w:rFonts w:hint="eastAsia" w:ascii="宋体" w:hAnsi="宋体" w:eastAsia="宋体"/>
                <w:color w:val="000000"/>
                <w:kern w:val="0"/>
                <w:sz w:val="20"/>
                <w:szCs w:val="20"/>
                <w:lang w:val="en-US" w:eastAsia="zh-CN" w:bidi="ar-SA"/>
              </w:rPr>
              <w:t>34</w:t>
            </w:r>
          </w:p>
        </w:tc>
        <w:tc>
          <w:tcPr>
            <w:tcW w:w="2066" w:type="dxa"/>
            <w:gridSpan w:val="3"/>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vMerge w:val="continue"/>
            <w:noWrap w:val="0"/>
            <w:vAlign w:val="center"/>
          </w:tcPr>
          <w:p>
            <w:pPr>
              <w:widowControl/>
              <w:jc w:val="center"/>
              <w:rPr>
                <w:rFonts w:hint="eastAsia" w:ascii="宋体" w:hAnsi="宋体"/>
                <w:color w:val="000000"/>
                <w:kern w:val="0"/>
                <w:sz w:val="20"/>
                <w:szCs w:val="20"/>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20"/>
                <w:szCs w:val="20"/>
              </w:rPr>
            </w:pPr>
            <w:r>
              <w:rPr>
                <w:rFonts w:hint="eastAsia" w:ascii="宋体" w:hAnsi="宋体" w:eastAsia="宋体" w:cs="宋体"/>
                <w:i w:val="0"/>
                <w:iCs w:val="0"/>
                <w:color w:val="auto"/>
                <w:w w:val="66"/>
                <w:kern w:val="0"/>
                <w:sz w:val="20"/>
                <w:szCs w:val="20"/>
                <w:u w:val="none"/>
                <w:lang w:val="en-US" w:eastAsia="zh-CN" w:bidi="ar"/>
              </w:rPr>
              <w:t>集中巡察</w:t>
            </w:r>
            <w:r>
              <w:rPr>
                <w:rFonts w:hint="eastAsia" w:ascii="宋体" w:hAnsi="宋体" w:cs="宋体"/>
                <w:i w:val="0"/>
                <w:iCs w:val="0"/>
                <w:color w:val="auto"/>
                <w:w w:val="66"/>
                <w:kern w:val="0"/>
                <w:sz w:val="20"/>
                <w:szCs w:val="20"/>
                <w:u w:val="none"/>
                <w:lang w:val="en-US" w:eastAsia="zh-CN" w:bidi="ar"/>
              </w:rPr>
              <w:t>（次）</w:t>
            </w:r>
          </w:p>
        </w:tc>
        <w:tc>
          <w:tcPr>
            <w:tcW w:w="1444" w:type="dxa"/>
            <w:noWrap/>
            <w:vAlign w:val="center"/>
          </w:tcPr>
          <w:p>
            <w:pPr>
              <w:keepNext w:val="0"/>
              <w:keepLines w:val="0"/>
              <w:widowControl/>
              <w:suppressLineNumbers w:val="0"/>
              <w:jc w:val="center"/>
              <w:textAlignment w:val="center"/>
              <w:rPr>
                <w:rFonts w:hint="default" w:ascii="宋体" w:hAnsi="宋体" w:eastAsia="宋体"/>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3</w:t>
            </w:r>
          </w:p>
        </w:tc>
        <w:tc>
          <w:tcPr>
            <w:tcW w:w="965"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4</w:t>
            </w:r>
          </w:p>
        </w:tc>
        <w:tc>
          <w:tcPr>
            <w:tcW w:w="2066" w:type="dxa"/>
            <w:gridSpan w:val="3"/>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vMerge w:val="continue"/>
            <w:noWrap w:val="0"/>
            <w:vAlign w:val="center"/>
          </w:tcPr>
          <w:p>
            <w:pPr>
              <w:widowControl/>
              <w:jc w:val="center"/>
              <w:rPr>
                <w:rFonts w:hint="eastAsia" w:ascii="宋体" w:hAnsi="宋体"/>
                <w:color w:val="000000"/>
                <w:kern w:val="0"/>
                <w:sz w:val="20"/>
                <w:szCs w:val="20"/>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20"/>
                <w:szCs w:val="20"/>
              </w:rPr>
            </w:pPr>
            <w:r>
              <w:rPr>
                <w:rFonts w:hint="eastAsia" w:ascii="宋体" w:hAnsi="宋体" w:eastAsia="宋体" w:cs="宋体"/>
                <w:i w:val="0"/>
                <w:iCs w:val="0"/>
                <w:color w:val="auto"/>
                <w:w w:val="66"/>
                <w:kern w:val="0"/>
                <w:sz w:val="20"/>
                <w:szCs w:val="20"/>
                <w:u w:val="none"/>
                <w:lang w:val="en-US" w:eastAsia="zh-CN" w:bidi="ar"/>
              </w:rPr>
              <w:t>市委统筹、提级交叉巡察</w:t>
            </w:r>
            <w:r>
              <w:rPr>
                <w:rFonts w:hint="eastAsia" w:ascii="宋体" w:hAnsi="宋体" w:cs="宋体"/>
                <w:i w:val="0"/>
                <w:iCs w:val="0"/>
                <w:color w:val="auto"/>
                <w:w w:val="66"/>
                <w:kern w:val="0"/>
                <w:sz w:val="20"/>
                <w:szCs w:val="20"/>
                <w:u w:val="none"/>
                <w:lang w:val="en-US" w:eastAsia="zh-CN" w:bidi="ar"/>
              </w:rPr>
              <w:t>（次）</w:t>
            </w:r>
          </w:p>
        </w:tc>
        <w:tc>
          <w:tcPr>
            <w:tcW w:w="1444" w:type="dxa"/>
            <w:noWrap/>
            <w:vAlign w:val="center"/>
          </w:tcPr>
          <w:p>
            <w:pPr>
              <w:keepNext w:val="0"/>
              <w:keepLines w:val="0"/>
              <w:widowControl/>
              <w:suppressLineNumbers w:val="0"/>
              <w:jc w:val="center"/>
              <w:textAlignment w:val="center"/>
              <w:rPr>
                <w:rFonts w:hint="default" w:ascii="宋体" w:hAnsi="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w:t>
            </w:r>
          </w:p>
        </w:tc>
        <w:tc>
          <w:tcPr>
            <w:tcW w:w="965"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1</w:t>
            </w:r>
          </w:p>
        </w:tc>
        <w:tc>
          <w:tcPr>
            <w:tcW w:w="2066" w:type="dxa"/>
            <w:gridSpan w:val="3"/>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质量</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449" w:type="dxa"/>
            <w:gridSpan w:val="2"/>
            <w:tcBorders>
              <w:bottom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20"/>
                <w:szCs w:val="20"/>
                <w:lang w:val="en-US"/>
              </w:rPr>
            </w:pPr>
            <w:r>
              <w:rPr>
                <w:rFonts w:hint="eastAsia" w:ascii="宋体" w:hAnsi="宋体" w:eastAsia="宋体" w:cs="宋体"/>
                <w:i w:val="0"/>
                <w:iCs w:val="0"/>
                <w:color w:val="auto"/>
                <w:w w:val="66"/>
                <w:kern w:val="0"/>
                <w:sz w:val="20"/>
                <w:szCs w:val="20"/>
                <w:u w:val="none"/>
                <w:lang w:val="en-US" w:eastAsia="zh-CN" w:bidi="ar"/>
              </w:rPr>
              <w:t>高效完成巡察工作</w:t>
            </w:r>
          </w:p>
        </w:tc>
        <w:tc>
          <w:tcPr>
            <w:tcW w:w="1444" w:type="dxa"/>
            <w:tcBorders>
              <w:bottom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高</w:t>
            </w:r>
          </w:p>
        </w:tc>
        <w:tc>
          <w:tcPr>
            <w:tcW w:w="965" w:type="dxa"/>
            <w:tcBorders>
              <w:bottom w:val="single" w:color="auto" w:sz="4" w:space="0"/>
            </w:tcBorders>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高</w:t>
            </w:r>
          </w:p>
        </w:tc>
        <w:tc>
          <w:tcPr>
            <w:tcW w:w="2066" w:type="dxa"/>
            <w:gridSpan w:val="3"/>
            <w:tcBorders>
              <w:bottom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noWrap/>
            <w:vAlign w:val="center"/>
          </w:tcPr>
          <w:p>
            <w:pPr>
              <w:widowControl/>
              <w:jc w:val="center"/>
              <w:rPr>
                <w:rFonts w:hint="eastAsia" w:ascii="宋体" w:hAnsi="宋体"/>
                <w:color w:val="000000"/>
                <w:kern w:val="0"/>
                <w:sz w:val="20"/>
                <w:szCs w:val="20"/>
                <w:lang w:val="en-US" w:eastAsia="zh-CN"/>
              </w:rPr>
            </w:pPr>
            <w:r>
              <w:rPr>
                <w:rFonts w:hint="eastAsia" w:ascii="宋体" w:hAnsi="宋体"/>
                <w:color w:val="000000"/>
                <w:kern w:val="0"/>
                <w:sz w:val="20"/>
                <w:szCs w:val="20"/>
                <w:lang w:val="en-US" w:eastAsia="zh-CN"/>
              </w:rPr>
              <w:t>成本</w:t>
            </w:r>
          </w:p>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指标</w:t>
            </w:r>
          </w:p>
        </w:tc>
        <w:tc>
          <w:tcPr>
            <w:tcW w:w="1449" w:type="dxa"/>
            <w:gridSpan w:val="2"/>
            <w:tcBorders>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39"/>
                <w:lang w:val="en-US" w:eastAsia="zh-CN" w:bidi="ar"/>
              </w:rPr>
              <w:t>经济成本指标</w:t>
            </w:r>
          </w:p>
        </w:tc>
        <w:tc>
          <w:tcPr>
            <w:tcW w:w="1444" w:type="dxa"/>
            <w:tcBorders>
              <w:bottom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项目支出成本节约率≥0</w:t>
            </w:r>
          </w:p>
        </w:tc>
        <w:tc>
          <w:tcPr>
            <w:tcW w:w="965" w:type="dxa"/>
            <w:tcBorders>
              <w:bottom w:val="single" w:color="auto" w:sz="4" w:space="0"/>
            </w:tcBorders>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0</w:t>
            </w:r>
          </w:p>
        </w:tc>
        <w:tc>
          <w:tcPr>
            <w:tcW w:w="2066" w:type="dxa"/>
            <w:gridSpan w:val="3"/>
            <w:tcBorders>
              <w:bottom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时效</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完成及时性</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1年</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1年</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效益</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rPr>
              <w:t>可持续影响指标</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各级党组织的创造力、凝聚力、战斗力不断增强</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20"/>
                <w:szCs w:val="20"/>
                <w:lang w:eastAsia="zh-CN"/>
              </w:rPr>
            </w:pPr>
            <w:r>
              <w:rPr>
                <w:rFonts w:hint="eastAsia" w:ascii="宋体" w:hAnsi="宋体"/>
                <w:color w:val="000000"/>
                <w:kern w:val="0"/>
                <w:sz w:val="20"/>
                <w:szCs w:val="20"/>
                <w:lang w:val="en-US" w:eastAsia="zh-CN"/>
              </w:rPr>
              <w:t>好</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满意度</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317" w:type="dxa"/>
            <w:gridSpan w:val="2"/>
            <w:tcBorders>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auto"/>
                <w:w w:val="66"/>
                <w:kern w:val="0"/>
                <w:sz w:val="20"/>
                <w:szCs w:val="20"/>
                <w:u w:val="none"/>
                <w:lang w:val="en-US" w:eastAsia="zh-CN" w:bidi="ar"/>
              </w:rPr>
              <w:t>社会满意度、党员干部满意度</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olor w:val="000000"/>
                <w:kern w:val="0"/>
                <w:sz w:val="20"/>
                <w:szCs w:val="20"/>
              </w:rPr>
            </w:pPr>
            <w:r>
              <w:rPr>
                <w:rFonts w:hint="eastAsia" w:ascii="宋体" w:hAnsi="宋体" w:eastAsia="宋体" w:cs="宋体"/>
                <w:i w:val="0"/>
                <w:iCs w:val="0"/>
                <w:color w:val="auto"/>
                <w:kern w:val="0"/>
                <w:sz w:val="20"/>
                <w:szCs w:val="20"/>
                <w:u w:val="none"/>
                <w:lang w:val="en-US" w:eastAsia="zh-CN" w:bidi="ar"/>
              </w:rPr>
              <w:t>≥90</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20"/>
                <w:szCs w:val="20"/>
                <w:lang w:eastAsia="zh-CN"/>
              </w:rPr>
            </w:pPr>
            <w:r>
              <w:rPr>
                <w:rFonts w:hint="eastAsia" w:ascii="宋体" w:hAnsi="宋体"/>
                <w:color w:val="000000"/>
                <w:kern w:val="0"/>
                <w:sz w:val="20"/>
                <w:szCs w:val="20"/>
              </w:rPr>
              <w:t>9</w:t>
            </w:r>
            <w:r>
              <w:rPr>
                <w:rFonts w:hint="eastAsia" w:ascii="宋体" w:hAnsi="宋体"/>
                <w:color w:val="000000"/>
                <w:kern w:val="0"/>
                <w:sz w:val="20"/>
                <w:szCs w:val="20"/>
                <w:lang w:val="en-US" w:eastAsia="zh-CN"/>
              </w:rPr>
              <w:t>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无</w:t>
            </w:r>
          </w:p>
        </w:tc>
      </w:tr>
    </w:tbl>
    <w:p>
      <w:pPr>
        <w:spacing w:line="660" w:lineRule="exact"/>
        <w:jc w:val="left"/>
        <w:outlineLvl w:val="9"/>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spacing w:line="660" w:lineRule="exact"/>
        <w:jc w:val="left"/>
        <w:outlineLvl w:val="1"/>
        <w:rPr>
          <w:rFonts w:hint="default" w:ascii="黑体" w:hAnsi="黑体" w:eastAsia="黑体" w:cs="黑体"/>
          <w:sz w:val="32"/>
          <w:szCs w:val="32"/>
          <w:lang w:val="en-US" w:eastAsia="zh-CN"/>
        </w:rPr>
      </w:pPr>
      <w:bookmarkStart w:id="68" w:name="_Toc13717"/>
      <w:r>
        <w:rPr>
          <w:rFonts w:hint="eastAsia" w:ascii="黑体" w:hAnsi="黑体" w:eastAsia="黑体" w:cs="黑体"/>
          <w:sz w:val="32"/>
          <w:szCs w:val="32"/>
          <w:lang w:val="en-US" w:eastAsia="zh-CN"/>
        </w:rPr>
        <w:t>附件5</w:t>
      </w:r>
      <w:bookmarkEnd w:id="68"/>
    </w:p>
    <w:p>
      <w:pPr>
        <w:spacing w:line="620" w:lineRule="exact"/>
        <w:jc w:val="center"/>
        <w:rPr>
          <w:rFonts w:hint="eastAsia" w:ascii="Times New Roman" w:hAnsi="Times New Roman" w:eastAsia="方正小标宋简体"/>
          <w:color w:val="000000"/>
          <w:kern w:val="0"/>
          <w:sz w:val="40"/>
          <w:szCs w:val="40"/>
        </w:rPr>
      </w:pPr>
      <w:r>
        <w:rPr>
          <w:rFonts w:hint="eastAsia" w:ascii="Times New Roman" w:hAnsi="Times New Roman" w:eastAsia="方正小标宋简体"/>
          <w:color w:val="000000"/>
          <w:kern w:val="0"/>
          <w:sz w:val="40"/>
          <w:szCs w:val="40"/>
        </w:rPr>
        <w:t>安岳县202</w:t>
      </w:r>
      <w:r>
        <w:rPr>
          <w:rFonts w:hint="eastAsia" w:ascii="Times New Roman" w:hAnsi="Times New Roman" w:eastAsia="方正小标宋简体"/>
          <w:color w:val="000000"/>
          <w:kern w:val="0"/>
          <w:sz w:val="40"/>
          <w:szCs w:val="40"/>
          <w:lang w:val="en-US" w:eastAsia="zh-CN"/>
        </w:rPr>
        <w:t>3</w:t>
      </w:r>
      <w:r>
        <w:rPr>
          <w:rFonts w:hint="eastAsia" w:ascii="Times New Roman" w:hAnsi="Times New Roman" w:eastAsia="方正小标宋简体"/>
          <w:color w:val="000000"/>
          <w:kern w:val="0"/>
          <w:sz w:val="40"/>
          <w:szCs w:val="40"/>
        </w:rPr>
        <w:t>年度项目支出绩效自评计分表</w:t>
      </w:r>
    </w:p>
    <w:p>
      <w:pPr>
        <w:autoSpaceDE w:val="0"/>
        <w:autoSpaceDN w:val="0"/>
        <w:adjustRightInd w:val="0"/>
        <w:spacing w:line="580" w:lineRule="exact"/>
        <w:jc w:val="center"/>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w:t>
      </w:r>
      <w:r>
        <w:rPr>
          <w:rFonts w:hint="eastAsia" w:ascii="宋体" w:hAnsi="宋体" w:eastAsia="方正楷体_GBK" w:cs="方正楷体_GBK"/>
          <w:b/>
          <w:bCs/>
          <w:sz w:val="32"/>
          <w:szCs w:val="32"/>
          <w:lang w:val="en-US" w:eastAsia="zh-CN"/>
        </w:rPr>
        <w:t>纪检专网、集团专线信息系统维护和租用费）</w:t>
      </w:r>
    </w:p>
    <w:p>
      <w:pPr>
        <w:spacing w:line="620" w:lineRule="exact"/>
        <w:rPr>
          <w:rFonts w:ascii="Times New Roman" w:hAnsi="Times New Roman" w:eastAsia="方正黑体简体"/>
          <w:sz w:val="32"/>
          <w:szCs w:val="32"/>
        </w:rPr>
      </w:pPr>
      <w:r>
        <w:rPr>
          <w:rFonts w:hint="eastAsia" w:ascii="Times New Roman" w:hAnsi="Times New Roman" w:eastAsia="楷体_GB2312"/>
          <w:b/>
          <w:bCs/>
          <w:kern w:val="0"/>
          <w:sz w:val="20"/>
          <w:szCs w:val="20"/>
          <w:lang w:val="en-US" w:eastAsia="zh-CN"/>
        </w:rPr>
        <w:t xml:space="preserve">预算单位名称：中国共产党安岳县纪律检查委员会   </w:t>
      </w:r>
      <w:r>
        <w:rPr>
          <w:rFonts w:hint="eastAsia" w:eastAsia="楷体_GB2312"/>
          <w:b/>
          <w:bCs/>
          <w:kern w:val="0"/>
          <w:sz w:val="20"/>
          <w:szCs w:val="20"/>
          <w:lang w:val="en-US" w:eastAsia="zh-CN"/>
        </w:rPr>
        <w:t xml:space="preserve"> </w:t>
      </w:r>
      <w:r>
        <w:rPr>
          <w:rFonts w:hint="eastAsia" w:ascii="Times New Roman" w:hAnsi="Times New Roman" w:eastAsia="楷体_GB2312"/>
          <w:b/>
          <w:bCs/>
          <w:kern w:val="0"/>
          <w:sz w:val="20"/>
          <w:szCs w:val="20"/>
          <w:lang w:val="en-US" w:eastAsia="zh-CN"/>
        </w:rPr>
        <w:t xml:space="preserve">预算单位编码：103001 </w:t>
      </w:r>
      <w:r>
        <w:rPr>
          <w:rFonts w:hint="eastAsia" w:eastAsia="楷体_GB2312"/>
          <w:b/>
          <w:bCs/>
          <w:kern w:val="0"/>
          <w:sz w:val="20"/>
          <w:szCs w:val="20"/>
          <w:lang w:val="en-US" w:eastAsia="zh-CN"/>
        </w:rPr>
        <w:t xml:space="preserve"> </w:t>
      </w:r>
      <w:r>
        <w:rPr>
          <w:rFonts w:hint="eastAsia" w:ascii="Times New Roman" w:hAnsi="Times New Roman" w:eastAsia="楷体_GB2312"/>
          <w:b/>
          <w:bCs/>
          <w:kern w:val="0"/>
          <w:sz w:val="20"/>
          <w:szCs w:val="20"/>
          <w:lang w:val="en-US" w:eastAsia="zh-CN"/>
        </w:rPr>
        <w:t xml:space="preserve">  自评等级：优           </w:t>
      </w:r>
    </w:p>
    <w:tbl>
      <w:tblPr>
        <w:tblStyle w:val="1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61"/>
        <w:gridCol w:w="804"/>
        <w:gridCol w:w="1605"/>
        <w:gridCol w:w="3340"/>
        <w:gridCol w:w="66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673" w:type="dxa"/>
            <w:shd w:val="clear" w:color="000000" w:fill="FFFFFF"/>
            <w:noWrap w:val="0"/>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一级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661" w:type="dxa"/>
            <w:shd w:val="clear" w:color="000000" w:fill="FFFFFF"/>
            <w:noWrap w:val="0"/>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二级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804"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三级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1605"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指标解释</w:t>
            </w:r>
          </w:p>
        </w:tc>
        <w:tc>
          <w:tcPr>
            <w:tcW w:w="3340"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指标说明（评价计分标准）</w:t>
            </w:r>
          </w:p>
        </w:tc>
        <w:tc>
          <w:tcPr>
            <w:tcW w:w="669"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自评</w:t>
            </w:r>
          </w:p>
          <w:p>
            <w:pPr>
              <w:widowControl/>
              <w:jc w:val="center"/>
              <w:rPr>
                <w:rFonts w:ascii="Times New Roman" w:hAnsi="Times New Roman"/>
                <w:b/>
                <w:bCs/>
                <w:kern w:val="0"/>
                <w:sz w:val="20"/>
                <w:szCs w:val="20"/>
              </w:rPr>
            </w:pPr>
            <w:r>
              <w:rPr>
                <w:rFonts w:ascii="Times New Roman" w:hAnsi="Times New Roman"/>
                <w:b/>
                <w:bCs/>
                <w:kern w:val="0"/>
                <w:sz w:val="20"/>
                <w:szCs w:val="20"/>
              </w:rPr>
              <w:t>分数</w:t>
            </w:r>
          </w:p>
        </w:tc>
        <w:tc>
          <w:tcPr>
            <w:tcW w:w="1538"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投   入（25分）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立项（15分）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项目立项规范性（5分）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项目的申请、设立过程是否符合相关要求，用以反映和考核项目立项的规范情况。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项目是否按照规定的程序申请设立；（1分）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所提交的文件、材料是否符合相关要求；（2分）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③</w:t>
            </w:r>
            <w:r>
              <w:rPr>
                <w:rFonts w:ascii="Times New Roman" w:hAnsi="Times New Roman"/>
                <w:kern w:val="0"/>
                <w:sz w:val="20"/>
                <w:szCs w:val="20"/>
              </w:rPr>
              <w:t>事前是否已经过必要的可行性研究、专家论证、风险评估、集体决策等。（2分）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rPr>
              <w:t>严格按照县财政局相关要求做好项目申请、入库、登记等流程，相关资料留存备查</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绩效目标合理性（4分）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项目所设定的绩效目标是否依据充分，是否符合客观实际，用以反映和考核项目绩效目标与项目实施的相符情况。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是否符合国家相关法律法规、国民经济发展规划和党委政府决策；（1分）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是否与项目实施单位或委托单位职责密切相关；（1分）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项目是否为促进事业发展所必需；（1分）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项目预期产出效益和效果是否符合正常的业绩水平。（1分）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c>
          <w:tcPr>
            <w:tcW w:w="1538" w:type="dxa"/>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项目所设定的绩效目标依据</w:t>
            </w:r>
            <w:r>
              <w:rPr>
                <w:rFonts w:hint="eastAsia" w:ascii="Times New Roman" w:hAnsi="Times New Roman" w:eastAsia="宋体" w:cs="Times New Roman"/>
                <w:kern w:val="0"/>
                <w:sz w:val="20"/>
                <w:szCs w:val="20"/>
                <w:lang w:val="en-US" w:eastAsia="zh-CN"/>
              </w:rPr>
              <w:t>合同相关参数设定</w:t>
            </w:r>
            <w:r>
              <w:rPr>
                <w:rFonts w:ascii="Times New Roman" w:hAnsi="Times New Roman" w:eastAsia="宋体" w:cs="Times New Roman"/>
                <w:kern w:val="0"/>
                <w:sz w:val="20"/>
                <w:szCs w:val="20"/>
              </w:rPr>
              <w:t>，符合客观实际</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绩效指标明确性（6分）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依据绩效目标设定的绩效指标是否清晰、细化、可衡量等，用以反映和考核项目绩效目标的明细化情况。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是否将项目绩效目标细化分解为具体的绩效指标；（2分）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是否通过清晰、可衡量的指标值予以体现；（1分）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是否与项目年度任务数或计划数相对应；（1分）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是否与预算确定的项目投资额或资金量相匹配。（2分）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c>
          <w:tcPr>
            <w:tcW w:w="1538" w:type="dxa"/>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依据绩效目标设定的绩效指标清晰、细化、可衡量</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lang w:val="en-US" w:eastAsia="zh-CN"/>
              </w:rPr>
              <w:t>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资金</w:t>
            </w:r>
          </w:p>
          <w:p>
            <w:pPr>
              <w:widowControl/>
              <w:jc w:val="center"/>
              <w:rPr>
                <w:rFonts w:ascii="Times New Roman" w:hAnsi="Times New Roman"/>
                <w:kern w:val="0"/>
                <w:sz w:val="20"/>
                <w:szCs w:val="20"/>
              </w:rPr>
            </w:pPr>
            <w:r>
              <w:rPr>
                <w:rFonts w:ascii="Times New Roman" w:hAnsi="Times New Roman"/>
                <w:kern w:val="0"/>
                <w:sz w:val="20"/>
                <w:szCs w:val="20"/>
              </w:rPr>
              <w:t>落实（10分）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资金到位率（5分）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实际到位资金与计划投入资金的比率，用以反映和考核资金落实情况对项目实施的总体保障程度。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资金到位率=（实际到位资金/计划投入资金）×100%。（达到目标值得5分，每少一个百分点扣1分，扣完为止）</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实际到位资金：一定时期（本年度或项目期）内实际落实到具体项目的资金。</w:t>
            </w:r>
          </w:p>
          <w:p>
            <w:pPr>
              <w:widowControl/>
              <w:jc w:val="left"/>
              <w:rPr>
                <w:rFonts w:ascii="Times New Roman" w:hAnsi="Times New Roman"/>
                <w:kern w:val="0"/>
                <w:sz w:val="20"/>
                <w:szCs w:val="20"/>
              </w:rPr>
            </w:pPr>
            <w:r>
              <w:rPr>
                <w:rFonts w:ascii="Times New Roman" w:hAnsi="Times New Roman"/>
                <w:kern w:val="0"/>
                <w:sz w:val="20"/>
                <w:szCs w:val="20"/>
              </w:rPr>
              <w:t>计划投入资金：一定时期（本年度或项目期）内计划投入到具体项目的资金。</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rPr>
              <w:t>实际到位</w:t>
            </w:r>
            <w:r>
              <w:rPr>
                <w:rFonts w:hint="eastAsia" w:ascii="Times New Roman" w:hAnsi="Times New Roman" w:eastAsia="宋体" w:cs="Times New Roman"/>
                <w:kern w:val="0"/>
                <w:sz w:val="20"/>
                <w:szCs w:val="20"/>
                <w:lang w:val="en-US" w:eastAsia="zh-CN"/>
              </w:rPr>
              <w:t>4.86</w:t>
            </w:r>
            <w:r>
              <w:rPr>
                <w:rFonts w:hint="eastAsia" w:ascii="Times New Roman" w:hAnsi="Times New Roman" w:eastAsia="宋体" w:cs="Times New Roman"/>
                <w:kern w:val="0"/>
                <w:sz w:val="20"/>
                <w:szCs w:val="20"/>
              </w:rPr>
              <w:t>万元/计划投入</w:t>
            </w:r>
            <w:r>
              <w:rPr>
                <w:rFonts w:hint="eastAsia" w:ascii="Times New Roman" w:hAnsi="Times New Roman" w:eastAsia="宋体" w:cs="Times New Roman"/>
                <w:kern w:val="0"/>
                <w:sz w:val="20"/>
                <w:szCs w:val="20"/>
                <w:lang w:val="en-US" w:eastAsia="zh-CN"/>
              </w:rPr>
              <w:t>4.86</w:t>
            </w:r>
            <w:r>
              <w:rPr>
                <w:rFonts w:hint="eastAsia" w:ascii="Times New Roman" w:hAnsi="Times New Roman" w:eastAsia="宋体" w:cs="Times New Roman"/>
                <w:kern w:val="0"/>
                <w:sz w:val="20"/>
                <w:szCs w:val="20"/>
              </w:rPr>
              <w:t>万元*100%=</w:t>
            </w:r>
            <w:r>
              <w:rPr>
                <w:rFonts w:hint="eastAsia" w:ascii="Times New Roman" w:hAnsi="Times New Roman" w:eastAsia="宋体" w:cs="Times New Roman"/>
                <w:kern w:val="0"/>
                <w:sz w:val="20"/>
                <w:szCs w:val="20"/>
                <w:lang w:val="en-US" w:eastAsia="zh-CN"/>
              </w:rPr>
              <w:t>100</w:t>
            </w:r>
            <w:r>
              <w:rPr>
                <w:rFonts w:hint="eastAsia" w:ascii="Times New Roman" w:hAnsi="Times New Roman" w:eastAsia="宋体" w:cs="Times New Roman"/>
                <w:kern w:val="0"/>
                <w:sz w:val="20"/>
                <w:szCs w:val="20"/>
              </w:rPr>
              <w:t>%</w:t>
            </w:r>
            <w:r>
              <w:rPr>
                <w:rFonts w:hint="eastAsia" w:ascii="Times New Roman" w:hAnsi="Times New Roman" w:eastAsia="宋体" w:cs="Times New Roman"/>
                <w:kern w:val="0"/>
                <w:sz w:val="20"/>
                <w:szCs w:val="20"/>
                <w:lang w:eastAsia="zh-CN"/>
              </w:rPr>
              <w:t>，</w:t>
            </w:r>
            <w:r>
              <w:rPr>
                <w:rFonts w:hint="eastAsia" w:ascii="Times New Roman" w:hAnsi="Times New Roman" w:eastAsia="宋体" w:cs="Times New Roman"/>
                <w:kern w:val="0"/>
                <w:sz w:val="20"/>
                <w:szCs w:val="20"/>
                <w:lang w:val="en-US" w:eastAsia="zh-CN"/>
              </w:rPr>
              <w:t>全部到位。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到位及时率（5分）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及时到位资金与应到位资金的比率，用以反映和考核项目资金落实的及时性程度。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到位及时率=（及时到位资金/应到位资金）×100%。（达到目标值得5分，每少一个百分点扣1分，扣完为止）</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及时到位资金：截至规定时点实际落实到具体项目的资金。</w:t>
            </w:r>
          </w:p>
          <w:p>
            <w:pPr>
              <w:widowControl/>
              <w:jc w:val="left"/>
              <w:rPr>
                <w:rFonts w:ascii="Times New Roman" w:hAnsi="Times New Roman"/>
                <w:kern w:val="0"/>
                <w:sz w:val="20"/>
                <w:szCs w:val="20"/>
              </w:rPr>
            </w:pPr>
            <w:r>
              <w:rPr>
                <w:rFonts w:ascii="Times New Roman" w:hAnsi="Times New Roman"/>
                <w:kern w:val="0"/>
                <w:sz w:val="20"/>
                <w:szCs w:val="20"/>
              </w:rPr>
              <w:t>应到位资金：按照合同或项目进度要求截至规定时点应落实到具体项目的资金。</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及时到位资金</w:t>
            </w:r>
            <w:r>
              <w:rPr>
                <w:rFonts w:hint="eastAsia" w:ascii="Times New Roman" w:hAnsi="Times New Roman" w:eastAsia="宋体" w:cs="Times New Roman"/>
                <w:kern w:val="0"/>
                <w:sz w:val="20"/>
                <w:szCs w:val="20"/>
                <w:lang w:val="en-US" w:eastAsia="zh-CN"/>
              </w:rPr>
              <w:t>4.868万元</w:t>
            </w:r>
            <w:r>
              <w:rPr>
                <w:rFonts w:ascii="Times New Roman" w:hAnsi="Times New Roman" w:eastAsia="宋体" w:cs="Times New Roman"/>
                <w:kern w:val="0"/>
                <w:sz w:val="20"/>
                <w:szCs w:val="20"/>
              </w:rPr>
              <w:t>/应到位资金</w:t>
            </w:r>
            <w:r>
              <w:rPr>
                <w:rFonts w:hint="eastAsia" w:ascii="Times New Roman" w:hAnsi="Times New Roman" w:eastAsia="宋体" w:cs="Times New Roman"/>
                <w:kern w:val="0"/>
                <w:sz w:val="20"/>
                <w:szCs w:val="20"/>
                <w:lang w:val="en-US" w:eastAsia="zh-CN"/>
              </w:rPr>
              <w:t>4.86万元</w:t>
            </w:r>
            <w:r>
              <w:rPr>
                <w:rFonts w:ascii="Times New Roman" w:hAnsi="Times New Roman" w:eastAsia="宋体" w:cs="Times New Roman"/>
                <w:kern w:val="0"/>
                <w:sz w:val="20"/>
                <w:szCs w:val="20"/>
              </w:rPr>
              <w:t>×100%</w:t>
            </w:r>
            <w:r>
              <w:rPr>
                <w:rFonts w:hint="eastAsia" w:ascii="Times New Roman" w:hAnsi="Times New Roman" w:eastAsia="宋体" w:cs="Times New Roman"/>
                <w:kern w:val="0"/>
                <w:sz w:val="20"/>
                <w:szCs w:val="20"/>
              </w:rPr>
              <w:t>=100%</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过   程（25分）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业务</w:t>
            </w:r>
          </w:p>
          <w:p>
            <w:pPr>
              <w:widowControl/>
              <w:jc w:val="center"/>
              <w:rPr>
                <w:rFonts w:ascii="Times New Roman" w:hAnsi="Times New Roman"/>
                <w:kern w:val="0"/>
                <w:sz w:val="20"/>
                <w:szCs w:val="20"/>
              </w:rPr>
            </w:pPr>
            <w:r>
              <w:rPr>
                <w:rFonts w:ascii="Times New Roman" w:hAnsi="Times New Roman"/>
                <w:kern w:val="0"/>
                <w:sz w:val="20"/>
                <w:szCs w:val="20"/>
              </w:rPr>
              <w:t>管理（13分）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管理制度健全性（4分）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项目实施单位的业务管理制度是否健全，用以反映和考核业务管理制度对项目顺利实施的保障情况。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是否已制定或具有相应的业务管理制度；（2分）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业务管理制度是否合法、合规、完整。（2分）</w:t>
            </w:r>
          </w:p>
        </w:tc>
        <w:tc>
          <w:tcPr>
            <w:tcW w:w="669" w:type="dxa"/>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4</w:t>
            </w:r>
          </w:p>
        </w:tc>
        <w:tc>
          <w:tcPr>
            <w:tcW w:w="1538" w:type="dxa"/>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rPr>
              <w:t>已制定</w:t>
            </w:r>
            <w:r>
              <w:rPr>
                <w:rFonts w:hint="eastAsia" w:ascii="Times New Roman" w:hAnsi="Times New Roman" w:eastAsia="宋体" w:cs="Times New Roman"/>
                <w:kern w:val="0"/>
                <w:sz w:val="20"/>
                <w:szCs w:val="20"/>
                <w:lang w:val="en-US" w:eastAsia="zh-CN"/>
              </w:rPr>
              <w:t>项目</w:t>
            </w:r>
            <w:r>
              <w:rPr>
                <w:rFonts w:ascii="Times New Roman" w:hAnsi="Times New Roman" w:eastAsia="宋体" w:cs="Times New Roman"/>
                <w:kern w:val="0"/>
                <w:sz w:val="20"/>
                <w:szCs w:val="20"/>
              </w:rPr>
              <w:t>相应的业务管理制度</w:t>
            </w:r>
            <w:r>
              <w:rPr>
                <w:rFonts w:hint="eastAsia" w:ascii="Times New Roman" w:hAnsi="Times New Roman" w:eastAsia="宋体" w:cs="Times New Roman"/>
                <w:kern w:val="0"/>
                <w:sz w:val="20"/>
                <w:szCs w:val="20"/>
              </w:rPr>
              <w:t>,并严格落实</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制度执行有效性（6分)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项目实施是否符合相关业务管理规定，用以反映和考核业务管理制度的有效执行情况。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是否遵守相关法律法规和业务管理规定；(1分）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项目调整及支出调整手续是否完备；（1分）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项目合同书、验收报告、技术鉴定等资料是否齐全并及时归档；（2分）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项目实施的人员条件、场地设备、信息支撑等是否落实到位。（2分）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c>
          <w:tcPr>
            <w:tcW w:w="1538" w:type="dxa"/>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rPr>
              <w:t>严格按照法律法规实施项目,程序合规,资料完整归档,人财物保障到位</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项目质量可控性（3分）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项目实施单位是否为达到项目质量要求而采取了必需的措施,用以反映和考核项目实施单位对项目质量的控制情况。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是否已制定或具有相应的项目质量要求或标准；（1分）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是否采取了相应的项目质量检查、验收等必需的控制措施或手段。（2分）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w:t>
            </w:r>
          </w:p>
        </w:tc>
        <w:tc>
          <w:tcPr>
            <w:tcW w:w="1538" w:type="dxa"/>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已制定</w:t>
            </w:r>
            <w:r>
              <w:rPr>
                <w:rFonts w:hint="eastAsia" w:ascii="Times New Roman" w:hAnsi="Times New Roman" w:eastAsia="宋体" w:cs="Times New Roman"/>
                <w:kern w:val="0"/>
                <w:sz w:val="20"/>
                <w:szCs w:val="20"/>
                <w:lang w:val="en-US" w:eastAsia="zh-CN"/>
              </w:rPr>
              <w:t>项目经费使用和管理办法。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财务</w:t>
            </w:r>
          </w:p>
          <w:p>
            <w:pPr>
              <w:widowControl/>
              <w:jc w:val="center"/>
              <w:rPr>
                <w:rFonts w:ascii="Times New Roman" w:hAnsi="Times New Roman"/>
                <w:kern w:val="0"/>
                <w:sz w:val="20"/>
                <w:szCs w:val="20"/>
              </w:rPr>
            </w:pPr>
            <w:r>
              <w:rPr>
                <w:rFonts w:ascii="Times New Roman" w:hAnsi="Times New Roman"/>
                <w:kern w:val="0"/>
                <w:sz w:val="20"/>
                <w:szCs w:val="20"/>
              </w:rPr>
              <w:t>管理（12分）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管理制度健全性（3分）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项目实施单位的财务制度是否健全，用以反映和考核财务管理制度对资金规范、安全运行的保障情况。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是否已制定或具有相应的项目资金管理办法；（2分）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项目资金管理办法是否符合相关财务会计制度的规定。（1分）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w:t>
            </w:r>
          </w:p>
        </w:tc>
        <w:tc>
          <w:tcPr>
            <w:tcW w:w="1538" w:type="dxa"/>
            <w:noWrap/>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制定了工作方案和考核办法。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资金使用合规性（7分）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项目资金使用是否符合相关的财务管理制度规定，用以反映和考核项目资金的规范运行情况。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是否符合国家财经法规和财务管理制度以及有关专项资金管理办法的规定；（1分）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资金的拨付是否有完整的审批程序和手续；（2分）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项目的重大开支是否经过评估认证；（1分）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④</w:t>
            </w:r>
            <w:r>
              <w:rPr>
                <w:rFonts w:ascii="Times New Roman" w:hAnsi="Times New Roman"/>
                <w:kern w:val="0"/>
                <w:sz w:val="20"/>
                <w:szCs w:val="20"/>
              </w:rPr>
              <w:t>是否符合项目预算批复或合同规定的用途；（1分）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⑤</w:t>
            </w:r>
            <w:r>
              <w:rPr>
                <w:rFonts w:ascii="Times New Roman" w:hAnsi="Times New Roman"/>
                <w:kern w:val="0"/>
                <w:sz w:val="20"/>
                <w:szCs w:val="20"/>
              </w:rPr>
              <w:t>是否存在截留、挤占、挪用、虚列支出等情况。（2分）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w:t>
            </w:r>
          </w:p>
        </w:tc>
        <w:tc>
          <w:tcPr>
            <w:tcW w:w="1538" w:type="dxa"/>
            <w:noWrap/>
            <w:vAlign w:val="center"/>
          </w:tcPr>
          <w:p>
            <w:pPr>
              <w:widowControl/>
              <w:jc w:val="left"/>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rPr>
              <w:t>符合相关财经法规制度,严格审批程序,专款专用,未发现违规违纪行为</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财务监控有效性（2分）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项目实施单位是否为保障资金的安全、规范运行而采取了必要的监控措施，用以反映和考核项目实施单位对资金运行的控制情况。</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是否已制定或具有相应的监控机制；（1分）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是否采取了相应的财务检查等必要的监控措施或手段。（1分）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w:t>
            </w:r>
          </w:p>
        </w:tc>
        <w:tc>
          <w:tcPr>
            <w:tcW w:w="1538" w:type="dxa"/>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rPr>
              <w:t>实时监控分析财务收支流水账,全面掌握项目资金运行情况</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产   出（20分）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产出（20分）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实际完成率（4分）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项目实施的实际产出数与计划产出数的比率，用以反映和考核项目产出数量目标的实现程度。</w:t>
            </w:r>
          </w:p>
        </w:tc>
        <w:tc>
          <w:tcPr>
            <w:tcW w:w="3340" w:type="dxa"/>
            <w:shd w:val="clear" w:color="000000" w:fill="FFFFFF"/>
            <w:noWrap w:val="0"/>
            <w:vAlign w:val="center"/>
          </w:tcPr>
          <w:p>
            <w:pPr>
              <w:widowControl/>
              <w:jc w:val="left"/>
              <w:rPr>
                <w:rFonts w:hint="eastAsia" w:ascii="Times New Roman" w:hAnsi="Times New Roman" w:eastAsia="宋体"/>
                <w:spacing w:val="-14"/>
                <w:kern w:val="0"/>
                <w:sz w:val="20"/>
                <w:szCs w:val="20"/>
                <w:lang w:eastAsia="zh-CN"/>
              </w:rPr>
            </w:pPr>
            <w:r>
              <w:rPr>
                <w:rFonts w:ascii="Times New Roman" w:hAnsi="Times New Roman"/>
                <w:spacing w:val="-14"/>
                <w:kern w:val="0"/>
                <w:sz w:val="20"/>
                <w:szCs w:val="20"/>
              </w:rPr>
              <w:t>实际完成率=（实际产出数/计划产出数）×100%。（得分=实际完成率*4分）</w:t>
            </w:r>
          </w:p>
          <w:p>
            <w:pPr>
              <w:widowControl/>
              <w:jc w:val="left"/>
              <w:rPr>
                <w:rFonts w:hint="eastAsia" w:ascii="Times New Roman" w:hAnsi="Times New Roman" w:eastAsia="宋体"/>
                <w:spacing w:val="-14"/>
                <w:kern w:val="0"/>
                <w:sz w:val="20"/>
                <w:szCs w:val="20"/>
                <w:lang w:eastAsia="zh-CN"/>
              </w:rPr>
            </w:pPr>
            <w:r>
              <w:rPr>
                <w:rFonts w:ascii="Times New Roman" w:hAnsi="Times New Roman"/>
                <w:spacing w:val="-14"/>
                <w:kern w:val="0"/>
                <w:sz w:val="20"/>
                <w:szCs w:val="20"/>
              </w:rPr>
              <w:t>实际产出数：一定时期（本年度或项目期）内项目实际产出的产品或提供的服务数量。</w:t>
            </w:r>
          </w:p>
          <w:p>
            <w:pPr>
              <w:widowControl/>
              <w:jc w:val="left"/>
              <w:rPr>
                <w:rFonts w:ascii="Times New Roman" w:hAnsi="Times New Roman"/>
                <w:kern w:val="0"/>
                <w:sz w:val="20"/>
                <w:szCs w:val="20"/>
              </w:rPr>
            </w:pPr>
            <w:r>
              <w:rPr>
                <w:rFonts w:ascii="Times New Roman" w:hAnsi="Times New Roman"/>
                <w:kern w:val="0"/>
                <w:sz w:val="20"/>
                <w:szCs w:val="20"/>
              </w:rPr>
              <w:t>计划产出数：项目绩效目标确定的在一定时期（本年度或项目期）内计划产出的产品或提供的服务数量。</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w:t>
            </w:r>
          </w:p>
        </w:tc>
        <w:tc>
          <w:tcPr>
            <w:tcW w:w="1538" w:type="dxa"/>
            <w:noWrap/>
            <w:vAlign w:val="center"/>
          </w:tcPr>
          <w:p>
            <w:pPr>
              <w:widowControl/>
              <w:jc w:val="left"/>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按照合同规定及申报的项目绩效指标，全面完成任务。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完成及时率（6分）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项目实际提前完成时间与计划完成时间的比率，用以反映和考核项目产出时效目标的实现程度。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完成及时率=[（计划完成时间-实际完成时间）/计划完成时间]×100%。（1--4季度各得1.5分）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实际完成时间：项目实施单位完成该项目实际所耗用的时间。</w:t>
            </w:r>
          </w:p>
          <w:p>
            <w:pPr>
              <w:widowControl/>
              <w:jc w:val="left"/>
              <w:rPr>
                <w:rFonts w:ascii="Times New Roman" w:hAnsi="Times New Roman"/>
                <w:kern w:val="0"/>
                <w:sz w:val="20"/>
                <w:szCs w:val="20"/>
              </w:rPr>
            </w:pPr>
            <w:r>
              <w:rPr>
                <w:rFonts w:ascii="Times New Roman" w:hAnsi="Times New Roman"/>
                <w:kern w:val="0"/>
                <w:sz w:val="20"/>
                <w:szCs w:val="20"/>
              </w:rPr>
              <w:t>计划完成时间：按照项目实施计划或相关规定完成该项目所需的时间。</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w:t>
            </w:r>
          </w:p>
        </w:tc>
        <w:tc>
          <w:tcPr>
            <w:tcW w:w="1538" w:type="dxa"/>
            <w:noWrap/>
            <w:vAlign w:val="center"/>
          </w:tcPr>
          <w:p>
            <w:pPr>
              <w:widowControl/>
              <w:jc w:val="left"/>
              <w:rPr>
                <w:rFonts w:hint="default" w:ascii="Times New Roman" w:hAnsi="Times New Roman" w:eastAsia="宋体" w:cs="Times New Roman"/>
                <w:kern w:val="0"/>
                <w:sz w:val="20"/>
                <w:szCs w:val="20"/>
                <w:lang w:val="en-US" w:eastAsia="zh-CN"/>
              </w:rPr>
            </w:pPr>
            <w:r>
              <w:rPr>
                <w:rFonts w:ascii="Times New Roman" w:hAnsi="Times New Roman" w:eastAsia="宋体" w:cs="Times New Roman"/>
                <w:kern w:val="0"/>
                <w:sz w:val="20"/>
                <w:szCs w:val="20"/>
              </w:rPr>
              <w:t>完成及时率</w:t>
            </w:r>
            <w:r>
              <w:rPr>
                <w:rFonts w:hint="eastAsia" w:ascii="Times New Roman" w:hAnsi="Times New Roman" w:eastAsia="宋体"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质量达标率（5分）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项目完成的质量达标产出数与实际产出数的比率，用以反映和考核项目产出质量目标的实现程度。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质量达标率=（质量达标产出数/实际产出数）×100%。（得分=达标率*5分）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质量达标产出数：一定时期（本年度或项目期）内实际达到既定质量标准的产品或服务数量。</w:t>
            </w:r>
          </w:p>
          <w:p>
            <w:pPr>
              <w:widowControl/>
              <w:jc w:val="left"/>
              <w:rPr>
                <w:rFonts w:ascii="Times New Roman" w:hAnsi="Times New Roman"/>
                <w:kern w:val="0"/>
                <w:sz w:val="20"/>
                <w:szCs w:val="20"/>
              </w:rPr>
            </w:pPr>
            <w:r>
              <w:rPr>
                <w:rFonts w:ascii="Times New Roman" w:hAnsi="Times New Roman"/>
                <w:spacing w:val="-10"/>
                <w:kern w:val="0"/>
                <w:sz w:val="20"/>
                <w:szCs w:val="20"/>
              </w:rPr>
              <w:t>既定质量标准是指项目实施单位设立绩效目标时依据计划标准、行业标准、历史标准或其他标准而设定的绩效指标值。</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质量达标率</w:t>
            </w:r>
            <w:r>
              <w:rPr>
                <w:rFonts w:hint="eastAsia" w:ascii="Times New Roman" w:hAnsi="Times New Roman" w:eastAsia="宋体" w:cs="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成本节约率（5分）</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完成项目计划工作目标的实际节约成本与计划成本的比率，用以反映和考核项目的成本节约程度。</w:t>
            </w:r>
          </w:p>
        </w:tc>
        <w:tc>
          <w:tcPr>
            <w:tcW w:w="3340"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成本节约率=[（计划成本-实际成本）/计划成本]×100%。(节约的计5分,增加的按比例扣分)</w:t>
            </w:r>
          </w:p>
          <w:p>
            <w:pPr>
              <w:widowControl/>
              <w:jc w:val="left"/>
              <w:rPr>
                <w:rFonts w:hint="eastAsia" w:ascii="Times New Roman" w:hAnsi="Times New Roman" w:eastAsia="宋体"/>
                <w:spacing w:val="-10"/>
                <w:kern w:val="0"/>
                <w:sz w:val="20"/>
                <w:szCs w:val="20"/>
                <w:lang w:eastAsia="zh-CN"/>
              </w:rPr>
            </w:pPr>
            <w:r>
              <w:rPr>
                <w:rFonts w:ascii="Times New Roman" w:hAnsi="Times New Roman"/>
                <w:spacing w:val="-10"/>
                <w:kern w:val="0"/>
                <w:sz w:val="20"/>
                <w:szCs w:val="20"/>
              </w:rPr>
              <w:t>实际成本：项目实施单位如期、保质、保量完成既定工作目标实际所耗费的支出。</w:t>
            </w:r>
          </w:p>
          <w:p>
            <w:pPr>
              <w:widowControl/>
              <w:jc w:val="left"/>
              <w:rPr>
                <w:rFonts w:ascii="Times New Roman" w:hAnsi="Times New Roman"/>
                <w:kern w:val="0"/>
                <w:sz w:val="20"/>
                <w:szCs w:val="20"/>
              </w:rPr>
            </w:pPr>
            <w:r>
              <w:rPr>
                <w:rFonts w:ascii="Times New Roman" w:hAnsi="Times New Roman"/>
                <w:spacing w:val="-10"/>
                <w:kern w:val="0"/>
                <w:sz w:val="20"/>
                <w:szCs w:val="20"/>
              </w:rPr>
              <w:t>计划成本：项目实施单位为完成工作目标计划安排的支出，一般以项目预算为参考。</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5</w:t>
            </w:r>
          </w:p>
        </w:tc>
        <w:tc>
          <w:tcPr>
            <w:tcW w:w="1538" w:type="dxa"/>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按照合同规定支付，未超预算支出。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效   果（30分）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效益（</w:t>
            </w:r>
            <w:r>
              <w:rPr>
                <w:rFonts w:hint="eastAsia" w:ascii="Times New Roman" w:hAnsi="Times New Roman"/>
                <w:kern w:val="0"/>
                <w:sz w:val="20"/>
                <w:szCs w:val="20"/>
                <w:lang w:val="en-US" w:eastAsia="zh-CN"/>
              </w:rPr>
              <w:t>20</w:t>
            </w:r>
            <w:r>
              <w:rPr>
                <w:rFonts w:ascii="Times New Roman" w:hAnsi="Times New Roman"/>
                <w:kern w:val="0"/>
                <w:sz w:val="20"/>
                <w:szCs w:val="20"/>
              </w:rPr>
              <w:t>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经济效益</w:t>
            </w:r>
          </w:p>
        </w:tc>
        <w:tc>
          <w:tcPr>
            <w:tcW w:w="1605"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项目实施对经济发展所带来的直接或间接影响情况。</w:t>
            </w:r>
          </w:p>
        </w:tc>
        <w:tc>
          <w:tcPr>
            <w:tcW w:w="3340" w:type="dxa"/>
            <w:vMerge w:val="restart"/>
            <w:shd w:val="clear" w:color="000000" w:fill="FFFFFF"/>
            <w:noWrap w:val="0"/>
            <w:vAlign w:val="center"/>
          </w:tcPr>
          <w:p>
            <w:pPr>
              <w:widowControl/>
              <w:jc w:val="left"/>
              <w:rPr>
                <w:rFonts w:ascii="Times New Roman" w:hAnsi="Times New Roman"/>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rPr>
            </w:pPr>
          </w:p>
        </w:tc>
        <w:tc>
          <w:tcPr>
            <w:tcW w:w="1538" w:type="dxa"/>
            <w:noWrap/>
            <w:vAlign w:val="center"/>
          </w:tcPr>
          <w:p>
            <w:pPr>
              <w:widowControl/>
              <w:jc w:val="left"/>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社会效益）</w:t>
            </w:r>
          </w:p>
        </w:tc>
        <w:tc>
          <w:tcPr>
            <w:tcW w:w="1605"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项目实施对社会发展所带来的直接或间接影响情况。</w:t>
            </w:r>
          </w:p>
        </w:tc>
        <w:tc>
          <w:tcPr>
            <w:tcW w:w="3340"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w:t>
            </w:r>
          </w:p>
        </w:tc>
        <w:tc>
          <w:tcPr>
            <w:tcW w:w="1538" w:type="dxa"/>
            <w:noWrap/>
            <w:vAlign w:val="center"/>
          </w:tcPr>
          <w:p>
            <w:pPr>
              <w:widowControl/>
              <w:jc w:val="left"/>
              <w:rPr>
                <w:rFonts w:ascii="Times New Roman" w:hAnsi="Times New Roman" w:eastAsia="宋体" w:cs="Times New Roman"/>
                <w:kern w:val="0"/>
                <w:sz w:val="20"/>
                <w:szCs w:val="20"/>
              </w:rPr>
            </w:pPr>
            <w:r>
              <w:rPr>
                <w:rFonts w:hint="eastAsia" w:ascii="宋体" w:hAnsi="宋体" w:eastAsia="宋体" w:cs="宋体"/>
                <w:i w:val="0"/>
                <w:iCs w:val="0"/>
                <w:color w:val="auto"/>
                <w:kern w:val="0"/>
                <w:sz w:val="18"/>
                <w:szCs w:val="18"/>
                <w:u w:val="none"/>
                <w:lang w:val="en-US" w:eastAsia="zh-CN" w:bidi="ar"/>
              </w:rPr>
              <w:t>纪检监察专网为机密级网络，有效保障问题线索的安全可靠性100%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生态效益）</w:t>
            </w:r>
          </w:p>
        </w:tc>
        <w:tc>
          <w:tcPr>
            <w:tcW w:w="1605"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项目实施对生态环境所带来的直接或间接影响情况。</w:t>
            </w:r>
          </w:p>
        </w:tc>
        <w:tc>
          <w:tcPr>
            <w:tcW w:w="3340"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ascii="Times New Roman" w:hAnsi="Times New Roman" w:eastAsia="宋体" w:cs="Times New Roman"/>
                <w:kern w:val="0"/>
                <w:sz w:val="20"/>
                <w:szCs w:val="20"/>
              </w:rPr>
            </w:pPr>
          </w:p>
        </w:tc>
        <w:tc>
          <w:tcPr>
            <w:tcW w:w="1538" w:type="dxa"/>
            <w:noWrap/>
            <w:vAlign w:val="center"/>
          </w:tcPr>
          <w:p>
            <w:pPr>
              <w:widowControl/>
              <w:jc w:val="left"/>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可持续影响</w:t>
            </w:r>
          </w:p>
        </w:tc>
        <w:tc>
          <w:tcPr>
            <w:tcW w:w="1605"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项目后续运行及成效发挥的可持续影响情况。</w:t>
            </w:r>
          </w:p>
        </w:tc>
        <w:tc>
          <w:tcPr>
            <w:tcW w:w="3340"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w:t>
            </w:r>
          </w:p>
        </w:tc>
        <w:tc>
          <w:tcPr>
            <w:tcW w:w="1538" w:type="dxa"/>
            <w:noWrap/>
            <w:vAlign w:val="center"/>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信息系统稳定性好，能</w:t>
            </w:r>
            <w:r>
              <w:rPr>
                <w:rFonts w:hint="eastAsia" w:ascii="Times New Roman" w:hAnsi="Times New Roman" w:eastAsia="宋体" w:cs="Times New Roman"/>
                <w:kern w:val="0"/>
                <w:sz w:val="20"/>
                <w:szCs w:val="20"/>
                <w:lang w:eastAsia="zh-CN"/>
              </w:rPr>
              <w:t>保障</w:t>
            </w:r>
            <w:r>
              <w:rPr>
                <w:rFonts w:hint="eastAsia" w:ascii="Times New Roman" w:hAnsi="Times New Roman" w:eastAsia="宋体" w:cs="Times New Roman"/>
                <w:kern w:val="0"/>
                <w:sz w:val="20"/>
                <w:szCs w:val="20"/>
                <w:lang w:val="en-US" w:eastAsia="zh-CN"/>
              </w:rPr>
              <w:t>视频会议正常召开，</w:t>
            </w:r>
            <w:r>
              <w:rPr>
                <w:rFonts w:hint="eastAsia" w:ascii="Times New Roman" w:hAnsi="Times New Roman" w:eastAsia="宋体" w:cs="Times New Roman"/>
                <w:kern w:val="0"/>
                <w:sz w:val="20"/>
                <w:szCs w:val="20"/>
                <w:lang w:eastAsia="zh-CN"/>
              </w:rPr>
              <w:t>纪检监察</w:t>
            </w:r>
            <w:r>
              <w:rPr>
                <w:rFonts w:hint="eastAsia" w:ascii="Times New Roman" w:hAnsi="Times New Roman" w:eastAsia="宋体" w:cs="Times New Roman"/>
                <w:kern w:val="0"/>
                <w:sz w:val="20"/>
                <w:szCs w:val="20"/>
              </w:rPr>
              <w:t>业务正常</w:t>
            </w:r>
            <w:r>
              <w:rPr>
                <w:rFonts w:hint="eastAsia" w:ascii="Times New Roman" w:hAnsi="Times New Roman" w:eastAsia="宋体" w:cs="Times New Roman"/>
                <w:kern w:val="0"/>
                <w:sz w:val="20"/>
                <w:szCs w:val="20"/>
                <w:lang w:eastAsia="zh-CN"/>
              </w:rPr>
              <w:t>开展</w:t>
            </w:r>
            <w:r>
              <w:rPr>
                <w:rFonts w:hint="eastAsia" w:ascii="Times New Roman" w:hAnsi="Times New Roman" w:eastAsia="宋体" w:cs="Times New Roman"/>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shd w:val="clear" w:color="auto" w:fill="auto"/>
            <w:noWrap w:val="0"/>
            <w:vAlign w:val="center"/>
          </w:tcPr>
          <w:p>
            <w:pPr>
              <w:widowControl/>
              <w:jc w:val="left"/>
              <w:rPr>
                <w:rFonts w:hint="eastAsia" w:ascii="Times New Roman" w:hAnsi="Times New Roman" w:eastAsia="宋体"/>
                <w:kern w:val="0"/>
                <w:sz w:val="20"/>
                <w:szCs w:val="20"/>
                <w:highlight w:val="none"/>
                <w:lang w:val="en-US" w:eastAsia="zh-CN" w:bidi="ar-SA"/>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804" w:type="dxa"/>
            <w:shd w:val="clear" w:color="000000" w:fill="FFFFFF"/>
            <w:noWrap w:val="0"/>
            <w:vAlign w:val="center"/>
          </w:tcPr>
          <w:p>
            <w:pPr>
              <w:widowControl/>
              <w:jc w:val="left"/>
              <w:rPr>
                <w:rFonts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1605" w:type="dxa"/>
            <w:shd w:val="clear" w:color="000000" w:fill="FFFFFF"/>
            <w:noWrap w:val="0"/>
            <w:vAlign w:val="center"/>
          </w:tcPr>
          <w:p>
            <w:pPr>
              <w:widowControl/>
              <w:jc w:val="left"/>
              <w:rPr>
                <w:rFonts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3340" w:type="dxa"/>
            <w:shd w:val="clear" w:color="000000" w:fill="FFFFFF"/>
            <w:noWrap w:val="0"/>
            <w:vAlign w:val="center"/>
          </w:tcPr>
          <w:p>
            <w:pPr>
              <w:widowControl/>
              <w:jc w:val="left"/>
              <w:rPr>
                <w:rFonts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669" w:type="dxa"/>
            <w:noWrap/>
            <w:vAlign w:val="center"/>
          </w:tcPr>
          <w:p>
            <w:pPr>
              <w:widowControl/>
              <w:jc w:val="cente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10</w:t>
            </w:r>
          </w:p>
        </w:tc>
        <w:tc>
          <w:tcPr>
            <w:tcW w:w="1538" w:type="dxa"/>
            <w:noWrap/>
            <w:vAlign w:val="center"/>
          </w:tcPr>
          <w:p>
            <w:pPr>
              <w:widowControl/>
              <w:jc w:val="left"/>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rPr>
              <w:t>单位及职工满意度100%。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83" w:type="dxa"/>
            <w:gridSpan w:val="5"/>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合计</w:t>
            </w:r>
          </w:p>
        </w:tc>
        <w:tc>
          <w:tcPr>
            <w:tcW w:w="669" w:type="dxa"/>
            <w:noWrap/>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100</w:t>
            </w:r>
          </w:p>
        </w:tc>
        <w:tc>
          <w:tcPr>
            <w:tcW w:w="1538" w:type="dxa"/>
            <w:noWrap/>
            <w:vAlign w:val="center"/>
          </w:tcPr>
          <w:p>
            <w:pPr>
              <w:widowControl/>
              <w:jc w:val="center"/>
              <w:rPr>
                <w:rFonts w:ascii="Times New Roman" w:hAnsi="Times New Roman" w:eastAsia="宋体" w:cs="Times New Roman"/>
                <w:kern w:val="0"/>
                <w:sz w:val="20"/>
                <w:szCs w:val="20"/>
              </w:rPr>
            </w:pPr>
          </w:p>
        </w:tc>
      </w:tr>
    </w:tbl>
    <w:p>
      <w:pPr>
        <w:spacing w:line="600" w:lineRule="exact"/>
        <w:jc w:val="center"/>
        <w:outlineLvl w:val="9"/>
        <w:rPr>
          <w:rFonts w:hint="eastAsia" w:ascii="黑体" w:hAnsi="黑体" w:eastAsia="黑体"/>
          <w:sz w:val="44"/>
          <w:szCs w:val="44"/>
        </w:rPr>
      </w:pPr>
    </w:p>
    <w:p>
      <w:pPr>
        <w:rPr>
          <w:rFonts w:hint="eastAsia" w:ascii="Times New Roman" w:hAnsi="Times New Roman" w:eastAsia="方正小标宋简体"/>
          <w:color w:val="000000"/>
          <w:spacing w:val="-12"/>
          <w:kern w:val="0"/>
          <w:sz w:val="40"/>
          <w:szCs w:val="40"/>
        </w:rPr>
      </w:pPr>
      <w:r>
        <w:rPr>
          <w:rFonts w:hint="eastAsia" w:ascii="Times New Roman" w:hAnsi="Times New Roman" w:eastAsia="方正小标宋简体"/>
          <w:color w:val="000000"/>
          <w:spacing w:val="-12"/>
          <w:kern w:val="0"/>
          <w:sz w:val="40"/>
          <w:szCs w:val="40"/>
        </w:rPr>
        <w:br w:type="page"/>
      </w:r>
    </w:p>
    <w:p>
      <w:pPr>
        <w:spacing w:line="620" w:lineRule="exact"/>
        <w:jc w:val="center"/>
        <w:rPr>
          <w:rFonts w:ascii="Times New Roman" w:hAnsi="Times New Roman" w:eastAsia="方正小标宋简体"/>
          <w:color w:val="000000"/>
          <w:spacing w:val="-12"/>
          <w:kern w:val="0"/>
          <w:sz w:val="40"/>
          <w:szCs w:val="40"/>
        </w:rPr>
      </w:pPr>
      <w:r>
        <w:rPr>
          <w:rFonts w:hint="eastAsia" w:ascii="Times New Roman" w:hAnsi="Times New Roman" w:eastAsia="方正小标宋简体"/>
          <w:color w:val="000000"/>
          <w:spacing w:val="-12"/>
          <w:kern w:val="0"/>
          <w:sz w:val="40"/>
          <w:szCs w:val="40"/>
        </w:rPr>
        <w:t>安岳县</w:t>
      </w:r>
      <w:r>
        <w:rPr>
          <w:rFonts w:ascii="Times New Roman" w:hAnsi="Times New Roman" w:eastAsia="方正小标宋简体"/>
          <w:color w:val="000000"/>
          <w:spacing w:val="-12"/>
          <w:kern w:val="0"/>
          <w:sz w:val="40"/>
          <w:szCs w:val="40"/>
        </w:rPr>
        <w:t>20</w:t>
      </w:r>
      <w:r>
        <w:rPr>
          <w:rFonts w:hint="eastAsia" w:ascii="Times New Roman" w:hAnsi="Times New Roman" w:eastAsia="方正小标宋简体"/>
          <w:color w:val="000000"/>
          <w:spacing w:val="-12"/>
          <w:kern w:val="0"/>
          <w:sz w:val="40"/>
          <w:szCs w:val="40"/>
        </w:rPr>
        <w:t>2</w:t>
      </w:r>
      <w:r>
        <w:rPr>
          <w:rFonts w:hint="eastAsia" w:ascii="Times New Roman" w:hAnsi="Times New Roman" w:eastAsia="方正小标宋简体"/>
          <w:color w:val="000000"/>
          <w:spacing w:val="-12"/>
          <w:kern w:val="0"/>
          <w:sz w:val="40"/>
          <w:szCs w:val="40"/>
          <w:lang w:val="en-US" w:eastAsia="zh-CN"/>
        </w:rPr>
        <w:t>3</w:t>
      </w:r>
      <w:r>
        <w:rPr>
          <w:rFonts w:ascii="Times New Roman" w:hAnsi="Times New Roman" w:eastAsia="方正小标宋简体"/>
          <w:color w:val="000000"/>
          <w:spacing w:val="-12"/>
          <w:kern w:val="0"/>
          <w:sz w:val="40"/>
          <w:szCs w:val="40"/>
        </w:rPr>
        <w:t>年度项目支出绩效目标完成情况表</w:t>
      </w:r>
    </w:p>
    <w:p>
      <w:pPr>
        <w:pStyle w:val="2"/>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786"/>
        <w:gridCol w:w="1345"/>
        <w:gridCol w:w="149"/>
        <w:gridCol w:w="1751"/>
        <w:gridCol w:w="791"/>
        <w:gridCol w:w="14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名称</w:t>
            </w:r>
          </w:p>
        </w:tc>
        <w:tc>
          <w:tcPr>
            <w:tcW w:w="8062" w:type="dxa"/>
            <w:gridSpan w:val="9"/>
            <w:noWrap/>
            <w:vAlign w:val="center"/>
          </w:tcPr>
          <w:p>
            <w:pPr>
              <w:widowControl/>
              <w:jc w:val="center"/>
              <w:rPr>
                <w:rFonts w:ascii="Times New Roman" w:hAnsi="Times New Roman"/>
                <w:color w:val="000000"/>
                <w:kern w:val="0"/>
                <w:sz w:val="18"/>
                <w:szCs w:val="18"/>
              </w:rPr>
            </w:pPr>
            <w:r>
              <w:rPr>
                <w:rFonts w:hint="eastAsia" w:ascii="Times New Roman" w:hAnsi="Times New Roman" w:eastAsia="宋体" w:cs="Times New Roman"/>
                <w:color w:val="000000"/>
                <w:kern w:val="0"/>
                <w:sz w:val="18"/>
                <w:szCs w:val="18"/>
                <w:lang w:val="en-US" w:eastAsia="zh-CN"/>
              </w:rPr>
              <w:t>纪检专网、集团专线信息系统维护和租用费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类型</w:t>
            </w: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产业发展</w:t>
            </w:r>
          </w:p>
        </w:tc>
        <w:tc>
          <w:tcPr>
            <w:tcW w:w="78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民生</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保障</w:t>
            </w:r>
          </w:p>
        </w:tc>
        <w:tc>
          <w:tcPr>
            <w:tcW w:w="3245"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基础设施</w:t>
            </w:r>
          </w:p>
        </w:tc>
        <w:tc>
          <w:tcPr>
            <w:tcW w:w="2831"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786" w:type="dxa"/>
            <w:noWrap/>
            <w:vAlign w:val="center"/>
          </w:tcPr>
          <w:p>
            <w:pPr>
              <w:jc w:val="center"/>
              <w:rPr>
                <w:rFonts w:ascii="Times New Roman" w:hAnsi="Times New Roman"/>
              </w:rPr>
            </w:pPr>
            <w:r>
              <w:rPr>
                <w:rFonts w:ascii="Times New Roman" w:hAnsi="Times New Roman"/>
                <w:color w:val="000000"/>
                <w:kern w:val="0"/>
                <w:sz w:val="18"/>
                <w:szCs w:val="18"/>
              </w:rPr>
              <w:t>□</w:t>
            </w:r>
          </w:p>
        </w:tc>
        <w:tc>
          <w:tcPr>
            <w:tcW w:w="3245" w:type="dxa"/>
            <w:gridSpan w:val="3"/>
            <w:noWrap/>
            <w:vAlign w:val="center"/>
          </w:tcPr>
          <w:p>
            <w:pPr>
              <w:jc w:val="center"/>
              <w:rPr>
                <w:rFonts w:ascii="Times New Roman" w:hAnsi="Times New Roman"/>
              </w:rPr>
            </w:pPr>
            <w:r>
              <w:rPr>
                <w:rFonts w:ascii="Times New Roman" w:hAnsi="Times New Roman"/>
                <w:color w:val="000000"/>
                <w:kern w:val="0"/>
                <w:sz w:val="18"/>
                <w:szCs w:val="18"/>
              </w:rPr>
              <w:t>□</w:t>
            </w:r>
          </w:p>
        </w:tc>
        <w:tc>
          <w:tcPr>
            <w:tcW w:w="2831" w:type="dxa"/>
            <w:gridSpan w:val="3"/>
            <w:noWrap/>
            <w:vAlign w:val="center"/>
          </w:tcPr>
          <w:p>
            <w:pPr>
              <w:jc w:val="center"/>
              <w:rPr>
                <w:rFonts w:ascii="Times New Roman" w:hAnsi="Times New Roman"/>
              </w:rPr>
            </w:pPr>
            <w:r>
              <w:rPr>
                <w:rFonts w:ascii="Times New Roman" w:hAnsi="Times New Roman"/>
                <w:color w:val="000000"/>
                <w:kern w:val="0"/>
                <w:sz w:val="18"/>
                <w:szCs w:val="1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部门（单位）名称</w:t>
            </w:r>
          </w:p>
        </w:tc>
        <w:tc>
          <w:tcPr>
            <w:tcW w:w="5231" w:type="dxa"/>
            <w:gridSpan w:val="6"/>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中国共产党安岳县纪律检查委员会</w:t>
            </w:r>
          </w:p>
        </w:tc>
        <w:tc>
          <w:tcPr>
            <w:tcW w:w="935"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预算单位编码</w:t>
            </w:r>
          </w:p>
        </w:tc>
        <w:tc>
          <w:tcPr>
            <w:tcW w:w="1896" w:type="dxa"/>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预算执行情况</w:t>
            </w: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tc>
        <w:tc>
          <w:tcPr>
            <w:tcW w:w="78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预算额(百元)</w:t>
            </w:r>
          </w:p>
        </w:tc>
        <w:tc>
          <w:tcPr>
            <w:tcW w:w="1345"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执行额(百元)</w:t>
            </w:r>
          </w:p>
        </w:tc>
        <w:tc>
          <w:tcPr>
            <w:tcW w:w="19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当年结转结余额(百元)</w:t>
            </w:r>
          </w:p>
        </w:tc>
        <w:tc>
          <w:tcPr>
            <w:tcW w:w="935"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结转结余率%</w:t>
            </w:r>
          </w:p>
        </w:tc>
        <w:tc>
          <w:tcPr>
            <w:tcW w:w="189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合   计</w:t>
            </w:r>
          </w:p>
        </w:tc>
        <w:tc>
          <w:tcPr>
            <w:tcW w:w="786" w:type="dxa"/>
            <w:noWrap/>
            <w:vAlign w:val="center"/>
          </w:tcPr>
          <w:p>
            <w:pPr>
              <w:widowControl/>
              <w:jc w:val="center"/>
              <w:rPr>
                <w:rFonts w:hint="default" w:ascii="Times New Roman" w:hAnsi="Times New Roman"/>
                <w:color w:val="000000"/>
                <w:kern w:val="0"/>
                <w:sz w:val="18"/>
                <w:szCs w:val="18"/>
                <w:lang w:val="en-US"/>
              </w:rPr>
            </w:pPr>
            <w:r>
              <w:rPr>
                <w:rFonts w:hint="eastAsia" w:ascii="Times New Roman" w:hAnsi="Times New Roman"/>
                <w:color w:val="000000"/>
                <w:kern w:val="0"/>
                <w:sz w:val="18"/>
                <w:szCs w:val="18"/>
                <w:lang w:val="en-US" w:eastAsia="zh-CN"/>
              </w:rPr>
              <w:t>485.71</w:t>
            </w:r>
          </w:p>
        </w:tc>
        <w:tc>
          <w:tcPr>
            <w:tcW w:w="1345"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485.71</w:t>
            </w:r>
          </w:p>
        </w:tc>
        <w:tc>
          <w:tcPr>
            <w:tcW w:w="1900" w:type="dxa"/>
            <w:gridSpan w:val="2"/>
            <w:noWrap/>
            <w:vAlign w:val="center"/>
          </w:tcPr>
          <w:p>
            <w:pPr>
              <w:widowControl/>
              <w:jc w:val="center"/>
              <w:rPr>
                <w:rFonts w:hint="eastAsia"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hint="eastAsia"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财政拨款</w:t>
            </w:r>
          </w:p>
        </w:tc>
        <w:tc>
          <w:tcPr>
            <w:tcW w:w="786" w:type="dxa"/>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485.71</w:t>
            </w:r>
          </w:p>
        </w:tc>
        <w:tc>
          <w:tcPr>
            <w:tcW w:w="1345" w:type="dxa"/>
            <w:noWrap/>
            <w:vAlign w:val="center"/>
          </w:tcPr>
          <w:p>
            <w:pPr>
              <w:widowControl/>
              <w:jc w:val="center"/>
              <w:rPr>
                <w:rFonts w:hint="default" w:ascii="Times New Roman" w:hAnsi="Times New Roman"/>
                <w:color w:val="000000"/>
                <w:kern w:val="0"/>
                <w:sz w:val="18"/>
                <w:szCs w:val="18"/>
                <w:lang w:val="en-US"/>
              </w:rPr>
            </w:pPr>
            <w:r>
              <w:rPr>
                <w:rFonts w:hint="eastAsia" w:ascii="Times New Roman" w:hAnsi="Times New Roman"/>
                <w:color w:val="000000"/>
                <w:kern w:val="0"/>
                <w:sz w:val="18"/>
                <w:szCs w:val="18"/>
                <w:lang w:val="en-US" w:eastAsia="zh-CN"/>
              </w:rPr>
              <w:t>485.71</w:t>
            </w:r>
          </w:p>
        </w:tc>
        <w:tc>
          <w:tcPr>
            <w:tcW w:w="1900" w:type="dxa"/>
            <w:gridSpan w:val="2"/>
            <w:noWrap/>
            <w:vAlign w:val="center"/>
          </w:tcPr>
          <w:p>
            <w:pPr>
              <w:widowControl/>
              <w:jc w:val="center"/>
              <w:rPr>
                <w:rFonts w:hint="eastAsia"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hint="eastAsia"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其他资金</w:t>
            </w:r>
          </w:p>
        </w:tc>
        <w:tc>
          <w:tcPr>
            <w:tcW w:w="786"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c>
          <w:tcPr>
            <w:tcW w:w="1345"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c>
          <w:tcPr>
            <w:tcW w:w="1900" w:type="dxa"/>
            <w:gridSpan w:val="2"/>
            <w:noWrap/>
            <w:vAlign w:val="center"/>
          </w:tcPr>
          <w:p>
            <w:pPr>
              <w:widowControl/>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财政拨款结构</w:t>
            </w: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tc>
        <w:tc>
          <w:tcPr>
            <w:tcW w:w="78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合计</w:t>
            </w:r>
          </w:p>
        </w:tc>
        <w:tc>
          <w:tcPr>
            <w:tcW w:w="1345"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一般公共预算安排</w:t>
            </w:r>
          </w:p>
        </w:tc>
        <w:tc>
          <w:tcPr>
            <w:tcW w:w="19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政府性基金预算安排</w:t>
            </w:r>
          </w:p>
        </w:tc>
        <w:tc>
          <w:tcPr>
            <w:tcW w:w="935"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国有资本经营预算安排</w:t>
            </w:r>
          </w:p>
        </w:tc>
        <w:tc>
          <w:tcPr>
            <w:tcW w:w="1896"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预算额</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(百元)</w:t>
            </w:r>
          </w:p>
        </w:tc>
        <w:tc>
          <w:tcPr>
            <w:tcW w:w="786" w:type="dxa"/>
            <w:noWrap/>
            <w:vAlign w:val="center"/>
          </w:tcPr>
          <w:p>
            <w:pPr>
              <w:widowControl/>
              <w:jc w:val="center"/>
              <w:rPr>
                <w:rFonts w:hint="default"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485.71</w:t>
            </w:r>
          </w:p>
        </w:tc>
        <w:tc>
          <w:tcPr>
            <w:tcW w:w="1345" w:type="dxa"/>
            <w:noWrap/>
            <w:vAlign w:val="center"/>
          </w:tcPr>
          <w:p>
            <w:pPr>
              <w:widowControl/>
              <w:jc w:val="center"/>
              <w:rPr>
                <w:rFonts w:ascii="Times New Roman" w:hAnsi="Times New Roman"/>
                <w:color w:val="000000"/>
                <w:kern w:val="0"/>
                <w:sz w:val="18"/>
                <w:szCs w:val="18"/>
                <w:lang w:val="en-US" w:eastAsia="zh-CN" w:bidi="ar-SA"/>
              </w:rPr>
            </w:pPr>
            <w:r>
              <w:rPr>
                <w:rFonts w:hint="eastAsia" w:ascii="Times New Roman" w:hAnsi="Times New Roman"/>
                <w:color w:val="000000"/>
                <w:kern w:val="0"/>
                <w:sz w:val="18"/>
                <w:szCs w:val="18"/>
                <w:lang w:val="en-US" w:eastAsia="zh-CN"/>
              </w:rPr>
              <w:t>485.71</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执行额</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(百元)</w:t>
            </w:r>
          </w:p>
        </w:tc>
        <w:tc>
          <w:tcPr>
            <w:tcW w:w="786" w:type="dxa"/>
            <w:noWrap/>
            <w:vAlign w:val="center"/>
          </w:tcPr>
          <w:p>
            <w:pPr>
              <w:widowControl/>
              <w:jc w:val="center"/>
              <w:rPr>
                <w:rFonts w:hint="default" w:ascii="Times New Roman" w:hAnsi="Times New Roman" w:eastAsia="宋体"/>
                <w:color w:val="000000"/>
                <w:kern w:val="0"/>
                <w:sz w:val="18"/>
                <w:szCs w:val="18"/>
                <w:lang w:val="en-US" w:eastAsia="zh-CN" w:bidi="ar-SA"/>
              </w:rPr>
            </w:pPr>
            <w:r>
              <w:rPr>
                <w:rFonts w:hint="eastAsia" w:ascii="Times New Roman" w:hAnsi="Times New Roman"/>
                <w:color w:val="000000"/>
                <w:kern w:val="0"/>
                <w:sz w:val="18"/>
                <w:szCs w:val="18"/>
                <w:lang w:val="en-US" w:eastAsia="zh-CN"/>
              </w:rPr>
              <w:t>485.71</w:t>
            </w:r>
          </w:p>
        </w:tc>
        <w:tc>
          <w:tcPr>
            <w:tcW w:w="1345" w:type="dxa"/>
            <w:noWrap/>
            <w:vAlign w:val="center"/>
          </w:tcPr>
          <w:p>
            <w:pPr>
              <w:widowControl/>
              <w:jc w:val="center"/>
              <w:rPr>
                <w:rFonts w:ascii="Times New Roman" w:hAnsi="Times New Roman"/>
                <w:color w:val="000000"/>
                <w:kern w:val="0"/>
                <w:sz w:val="18"/>
                <w:szCs w:val="18"/>
                <w:lang w:val="en-US" w:eastAsia="zh-CN" w:bidi="ar-SA"/>
              </w:rPr>
            </w:pPr>
            <w:r>
              <w:rPr>
                <w:rFonts w:hint="eastAsia" w:ascii="Times New Roman" w:hAnsi="Times New Roman"/>
                <w:color w:val="000000"/>
                <w:kern w:val="0"/>
                <w:sz w:val="18"/>
                <w:szCs w:val="18"/>
                <w:lang w:val="en-US" w:eastAsia="zh-CN"/>
              </w:rPr>
              <w:t>485.71</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当年结转结余额(百元)</w:t>
            </w:r>
          </w:p>
        </w:tc>
        <w:tc>
          <w:tcPr>
            <w:tcW w:w="78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345"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结转结余率%</w:t>
            </w:r>
          </w:p>
        </w:tc>
        <w:tc>
          <w:tcPr>
            <w:tcW w:w="78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345"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结转结余变动率%</w:t>
            </w:r>
          </w:p>
        </w:tc>
        <w:tc>
          <w:tcPr>
            <w:tcW w:w="78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345"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90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935"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c>
          <w:tcPr>
            <w:tcW w:w="1896" w:type="dxa"/>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年度总体目标</w:t>
            </w:r>
          </w:p>
        </w:tc>
        <w:tc>
          <w:tcPr>
            <w:tcW w:w="1986"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预算总体目标</w:t>
            </w:r>
          </w:p>
        </w:tc>
        <w:tc>
          <w:tcPr>
            <w:tcW w:w="3245"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预算总体目标执行结果</w:t>
            </w:r>
          </w:p>
        </w:tc>
        <w:tc>
          <w:tcPr>
            <w:tcW w:w="2831" w:type="dxa"/>
            <w:gridSpan w:val="3"/>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986" w:type="dxa"/>
            <w:gridSpan w:val="3"/>
            <w:noWrap/>
            <w:vAlign w:val="center"/>
          </w:tcPr>
          <w:p>
            <w:pPr>
              <w:widowControl/>
              <w:jc w:val="left"/>
              <w:rPr>
                <w:rFonts w:ascii="Times New Roman" w:hAnsi="Times New Roman"/>
                <w:color w:val="000000"/>
                <w:kern w:val="0"/>
                <w:sz w:val="18"/>
                <w:szCs w:val="18"/>
              </w:rPr>
            </w:pPr>
            <w:r>
              <w:rPr>
                <w:rFonts w:hint="eastAsia" w:ascii="Times New Roman" w:hAnsi="Times New Roman" w:eastAsia="宋体" w:cs="Times New Roman"/>
                <w:kern w:val="0"/>
                <w:sz w:val="20"/>
                <w:szCs w:val="20"/>
                <w:lang w:val="en-US" w:eastAsia="zh-CN"/>
              </w:rPr>
              <w:t>通过纪检专网服务项目的实施，确保视频会议正常召开，</w:t>
            </w:r>
            <w:r>
              <w:rPr>
                <w:rFonts w:hint="eastAsia" w:ascii="宋体" w:hAnsi="宋体" w:eastAsia="宋体" w:cs="宋体"/>
                <w:color w:val="000000"/>
                <w:spacing w:val="-6"/>
                <w:kern w:val="0"/>
                <w:sz w:val="19"/>
                <w:szCs w:val="19"/>
                <w:lang w:bidi="ar"/>
              </w:rPr>
              <w:t>确保纪检专网正常运行</w:t>
            </w:r>
            <w:r>
              <w:rPr>
                <w:rFonts w:hint="eastAsia" w:ascii="Times New Roman" w:hAnsi="Times New Roman" w:eastAsia="宋体" w:cs="Times New Roman"/>
                <w:kern w:val="0"/>
                <w:sz w:val="20"/>
                <w:szCs w:val="20"/>
                <w:lang w:eastAsia="zh-CN"/>
              </w:rPr>
              <w:t>。</w:t>
            </w:r>
          </w:p>
        </w:tc>
        <w:tc>
          <w:tcPr>
            <w:tcW w:w="3245" w:type="dxa"/>
            <w:gridSpan w:val="3"/>
            <w:noWrap/>
            <w:vAlign w:val="center"/>
          </w:tcPr>
          <w:p>
            <w:pPr>
              <w:widowControl/>
              <w:jc w:val="left"/>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网络信号稳定，视频会议有序高质量召开，</w:t>
            </w:r>
            <w:r>
              <w:rPr>
                <w:rFonts w:hint="eastAsia" w:ascii="Times New Roman" w:hAnsi="Times New Roman"/>
                <w:color w:val="000000"/>
                <w:kern w:val="0"/>
                <w:sz w:val="18"/>
                <w:szCs w:val="18"/>
                <w:lang w:val="en-US" w:eastAsia="zh-CN"/>
              </w:rPr>
              <w:t>纪检专网设备运行正常，确保文件接收等</w:t>
            </w:r>
            <w:r>
              <w:rPr>
                <w:rFonts w:hint="eastAsia" w:ascii="Times New Roman" w:hAnsi="Times New Roman"/>
                <w:color w:val="000000"/>
                <w:kern w:val="0"/>
                <w:sz w:val="18"/>
                <w:szCs w:val="18"/>
                <w:lang w:eastAsia="zh-CN"/>
              </w:rPr>
              <w:t>业务工作有序运转。</w:t>
            </w:r>
          </w:p>
        </w:tc>
        <w:tc>
          <w:tcPr>
            <w:tcW w:w="2831" w:type="dxa"/>
            <w:gridSpan w:val="3"/>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年度绩</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效指标</w:t>
            </w:r>
          </w:p>
        </w:tc>
        <w:tc>
          <w:tcPr>
            <w:tcW w:w="847"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一级</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139"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二级指标</w:t>
            </w:r>
          </w:p>
        </w:tc>
        <w:tc>
          <w:tcPr>
            <w:tcW w:w="1494"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三级</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751"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预算指标值(包含数字及文字描述)</w:t>
            </w:r>
          </w:p>
        </w:tc>
        <w:tc>
          <w:tcPr>
            <w:tcW w:w="791"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预算指标值执行结果(包含数字及文字描述)</w:t>
            </w:r>
          </w:p>
        </w:tc>
        <w:tc>
          <w:tcPr>
            <w:tcW w:w="2040"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完成</w:t>
            </w:r>
          </w:p>
        </w:tc>
        <w:tc>
          <w:tcPr>
            <w:tcW w:w="1139"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数量</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494" w:type="dxa"/>
            <w:gridSpan w:val="2"/>
            <w:noWrap/>
            <w:vAlign w:val="center"/>
          </w:tcPr>
          <w:p>
            <w:pPr>
              <w:keepNext w:val="0"/>
              <w:keepLines w:val="0"/>
              <w:widowControl/>
              <w:suppressLineNumbers w:val="0"/>
              <w:jc w:val="center"/>
              <w:textAlignment w:val="center"/>
              <w:rPr>
                <w:rFonts w:ascii="Times New Roman" w:hAnsi="Times New Roman"/>
                <w:color w:val="000000"/>
                <w:kern w:val="0"/>
                <w:sz w:val="18"/>
                <w:szCs w:val="18"/>
              </w:rPr>
            </w:pPr>
            <w:r>
              <w:rPr>
                <w:rFonts w:hint="eastAsia" w:ascii="宋体" w:hAnsi="宋体" w:eastAsia="宋体" w:cs="宋体"/>
                <w:i w:val="0"/>
                <w:iCs w:val="0"/>
                <w:color w:val="auto"/>
                <w:kern w:val="0"/>
                <w:sz w:val="18"/>
                <w:szCs w:val="18"/>
                <w:u w:val="none"/>
                <w:lang w:val="en-US" w:eastAsia="zh-CN" w:bidi="ar"/>
              </w:rPr>
              <w:t>纪检专网服务项目</w:t>
            </w:r>
          </w:p>
        </w:tc>
        <w:tc>
          <w:tcPr>
            <w:tcW w:w="175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质量</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数据传输安全畅通</w:t>
            </w:r>
          </w:p>
        </w:tc>
        <w:tc>
          <w:tcPr>
            <w:tcW w:w="175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好</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好</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continue"/>
            <w:noWrap w:val="0"/>
            <w:vAlign w:val="center"/>
          </w:tcPr>
          <w:p>
            <w:pPr>
              <w:widowControl/>
              <w:jc w:val="center"/>
              <w:rPr>
                <w:rFonts w:ascii="Times New Roman" w:hAnsi="Times New Roman"/>
                <w:color w:val="000000"/>
                <w:kern w:val="0"/>
                <w:sz w:val="18"/>
                <w:szCs w:val="18"/>
              </w:rPr>
            </w:pPr>
          </w:p>
        </w:tc>
        <w:tc>
          <w:tcPr>
            <w:tcW w:w="1494" w:type="dxa"/>
            <w:gridSpan w:val="2"/>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纪检专网运转率</w:t>
            </w:r>
          </w:p>
        </w:tc>
        <w:tc>
          <w:tcPr>
            <w:tcW w:w="175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noWrap w:val="0"/>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成本</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494" w:type="dxa"/>
            <w:gridSpan w:val="2"/>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38"/>
                <w:lang w:val="en-US" w:eastAsia="zh-CN" w:bidi="ar"/>
              </w:rPr>
              <w:t>经济成本指标</w:t>
            </w:r>
          </w:p>
        </w:tc>
        <w:tc>
          <w:tcPr>
            <w:tcW w:w="1751" w:type="dxa"/>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项目支出成本节约率</w:t>
            </w:r>
            <w:r>
              <w:rPr>
                <w:rFonts w:hint="eastAsia" w:ascii="宋体" w:hAnsi="宋体" w:eastAsia="宋体" w:cs="宋体"/>
                <w:i w:val="0"/>
                <w:iCs w:val="0"/>
                <w:color w:val="auto"/>
                <w:kern w:val="0"/>
                <w:sz w:val="18"/>
                <w:szCs w:val="18"/>
                <w:u w:val="none"/>
                <w:lang w:val="en-US" w:eastAsia="zh-CN" w:bidi="ar"/>
              </w:rPr>
              <w:t>≥0</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0</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noWrap w:val="0"/>
            <w:vAlign w:val="center"/>
          </w:tcPr>
          <w:p>
            <w:pPr>
              <w:widowControl/>
              <w:jc w:val="center"/>
              <w:rPr>
                <w:rFonts w:ascii="Times New Roman" w:hAnsi="Times New Roman"/>
                <w:color w:val="000000"/>
                <w:kern w:val="0"/>
                <w:sz w:val="18"/>
                <w:szCs w:val="18"/>
              </w:rPr>
            </w:pPr>
            <w:r>
              <w:rPr>
                <w:rFonts w:hint="eastAsia" w:ascii="宋体" w:hAnsi="宋体" w:eastAsia="宋体" w:cs="宋体"/>
                <w:i w:val="0"/>
                <w:iCs w:val="0"/>
                <w:color w:val="000000"/>
                <w:kern w:val="0"/>
                <w:sz w:val="18"/>
                <w:szCs w:val="18"/>
                <w:u w:val="none"/>
                <w:lang w:val="en-US" w:eastAsia="zh-CN" w:bidi="ar"/>
              </w:rPr>
              <w:t>时效指标</w:t>
            </w:r>
          </w:p>
        </w:tc>
        <w:tc>
          <w:tcPr>
            <w:tcW w:w="1494" w:type="dxa"/>
            <w:gridSpan w:val="2"/>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完成时间</w:t>
            </w:r>
          </w:p>
        </w:tc>
        <w:tc>
          <w:tcPr>
            <w:tcW w:w="1751" w:type="dxa"/>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=1年</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1年</w:t>
            </w:r>
          </w:p>
        </w:tc>
        <w:tc>
          <w:tcPr>
            <w:tcW w:w="2040"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restart"/>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效益指标</w:t>
            </w: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社会效益指标</w:t>
            </w:r>
          </w:p>
        </w:tc>
        <w:tc>
          <w:tcPr>
            <w:tcW w:w="175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纪检监察专网为机密级网络，有效保障问题线索的安全可靠性＝100%</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204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continue"/>
            <w:noWrap w:val="0"/>
            <w:vAlign w:val="center"/>
          </w:tcPr>
          <w:p>
            <w:pPr>
              <w:widowControl/>
              <w:jc w:val="center"/>
              <w:rPr>
                <w:rFonts w:ascii="Times New Roman" w:hAnsi="Times New Roman"/>
                <w:color w:val="000000"/>
                <w:kern w:val="0"/>
                <w:sz w:val="18"/>
                <w:szCs w:val="18"/>
              </w:rPr>
            </w:pP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社会效益指标</w:t>
            </w:r>
          </w:p>
        </w:tc>
        <w:tc>
          <w:tcPr>
            <w:tcW w:w="175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加强和推动纪检监察工作提质增效好</w:t>
            </w:r>
          </w:p>
        </w:tc>
        <w:tc>
          <w:tcPr>
            <w:tcW w:w="79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好</w:t>
            </w:r>
          </w:p>
        </w:tc>
        <w:tc>
          <w:tcPr>
            <w:tcW w:w="204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vMerge w:val="continue"/>
            <w:noWrap w:val="0"/>
            <w:vAlign w:val="center"/>
          </w:tcPr>
          <w:p>
            <w:pPr>
              <w:widowControl/>
              <w:jc w:val="center"/>
              <w:rPr>
                <w:rFonts w:ascii="Times New Roman" w:hAnsi="Times New Roman"/>
                <w:color w:val="000000"/>
                <w:kern w:val="0"/>
                <w:sz w:val="18"/>
                <w:szCs w:val="18"/>
              </w:rPr>
            </w:pPr>
          </w:p>
        </w:tc>
        <w:tc>
          <w:tcPr>
            <w:tcW w:w="1494" w:type="dxa"/>
            <w:gridSpan w:val="2"/>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可持续影响指标</w:t>
            </w:r>
          </w:p>
        </w:tc>
        <w:tc>
          <w:tcPr>
            <w:tcW w:w="175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信息系统稳定性好</w:t>
            </w:r>
          </w:p>
        </w:tc>
        <w:tc>
          <w:tcPr>
            <w:tcW w:w="79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好</w:t>
            </w:r>
          </w:p>
        </w:tc>
        <w:tc>
          <w:tcPr>
            <w:tcW w:w="204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ascii="Times New Roman" w:hAnsi="Times New Roman"/>
                <w:color w:val="000000"/>
                <w:kern w:val="0"/>
                <w:sz w:val="18"/>
                <w:szCs w:val="18"/>
              </w:rPr>
            </w:pPr>
          </w:p>
        </w:tc>
        <w:tc>
          <w:tcPr>
            <w:tcW w:w="1139" w:type="dxa"/>
            <w:gridSpan w:val="2"/>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75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9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2040" w:type="dxa"/>
            <w:gridSpan w:val="2"/>
            <w:noWrap/>
            <w:vAlign w:val="center"/>
          </w:tcPr>
          <w:p>
            <w:pPr>
              <w:widowControl/>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满意度</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指标</w:t>
            </w:r>
          </w:p>
        </w:tc>
        <w:tc>
          <w:tcPr>
            <w:tcW w:w="1139" w:type="dxa"/>
            <w:gridSpan w:val="2"/>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94" w:type="dxa"/>
            <w:gridSpan w:val="2"/>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单位用户满意度（%）</w:t>
            </w:r>
          </w:p>
        </w:tc>
        <w:tc>
          <w:tcPr>
            <w:tcW w:w="1751"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≥95</w:t>
            </w:r>
          </w:p>
        </w:tc>
        <w:tc>
          <w:tcPr>
            <w:tcW w:w="791"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100</w:t>
            </w:r>
          </w:p>
        </w:tc>
        <w:tc>
          <w:tcPr>
            <w:tcW w:w="2040" w:type="dxa"/>
            <w:gridSpan w:val="2"/>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无</w:t>
            </w:r>
          </w:p>
        </w:tc>
      </w:tr>
    </w:tbl>
    <w:p>
      <w:pPr>
        <w:spacing w:line="620" w:lineRule="exact"/>
        <w:jc w:val="left"/>
        <w:rPr>
          <w:rFonts w:ascii="Times New Roman" w:hAnsi="Times New Roman" w:eastAsia="方正黑体简体"/>
          <w:sz w:val="32"/>
          <w:szCs w:val="32"/>
        </w:rPr>
      </w:pPr>
    </w:p>
    <w:p>
      <w:pPr>
        <w:spacing w:line="600" w:lineRule="exact"/>
        <w:jc w:val="center"/>
        <w:outlineLvl w:val="9"/>
        <w:rPr>
          <w:rFonts w:hint="eastAsia" w:ascii="黑体" w:hAnsi="黑体" w:eastAsia="黑体"/>
          <w:sz w:val="44"/>
          <w:szCs w:val="44"/>
        </w:rPr>
      </w:pPr>
    </w:p>
    <w:p>
      <w:pPr>
        <w:rPr>
          <w:rFonts w:hint="eastAsia" w:ascii="黑体" w:hAnsi="黑体" w:eastAsia="黑体"/>
          <w:sz w:val="32"/>
          <w:szCs w:val="32"/>
          <w:lang w:val="en-US" w:eastAsia="zh-CN"/>
        </w:rPr>
      </w:pPr>
      <w:r>
        <w:rPr>
          <w:rFonts w:hint="eastAsia" w:ascii="黑体" w:hAnsi="黑体" w:eastAsia="黑体"/>
          <w:sz w:val="32"/>
          <w:szCs w:val="32"/>
          <w:lang w:val="en-US" w:eastAsia="zh-CN"/>
        </w:rPr>
        <w:br w:type="page"/>
      </w:r>
    </w:p>
    <w:p>
      <w:pPr>
        <w:spacing w:line="660" w:lineRule="exact"/>
        <w:jc w:val="left"/>
        <w:outlineLvl w:val="1"/>
        <w:rPr>
          <w:rFonts w:hint="eastAsia" w:ascii="黑体" w:hAnsi="黑体" w:eastAsia="黑体" w:cs="黑体"/>
          <w:sz w:val="32"/>
          <w:szCs w:val="32"/>
          <w:lang w:val="en-US" w:eastAsia="zh-CN"/>
        </w:rPr>
      </w:pPr>
      <w:bookmarkStart w:id="69" w:name="_Toc24650"/>
      <w:r>
        <w:rPr>
          <w:rFonts w:hint="eastAsia" w:ascii="黑体" w:hAnsi="黑体" w:eastAsia="黑体" w:cs="黑体"/>
          <w:sz w:val="32"/>
          <w:szCs w:val="32"/>
          <w:lang w:val="en-US" w:eastAsia="zh-CN"/>
        </w:rPr>
        <w:t>附件6</w:t>
      </w:r>
      <w:bookmarkEnd w:id="69"/>
    </w:p>
    <w:p>
      <w:pPr>
        <w:spacing w:line="620" w:lineRule="exact"/>
        <w:jc w:val="center"/>
        <w:rPr>
          <w:rFonts w:hint="eastAsia" w:ascii="Times New Roman" w:hAnsi="Times New Roman" w:eastAsia="方正小标宋简体"/>
          <w:color w:val="000000"/>
          <w:kern w:val="0"/>
          <w:sz w:val="40"/>
          <w:szCs w:val="40"/>
        </w:rPr>
      </w:pPr>
      <w:r>
        <w:rPr>
          <w:rFonts w:hint="eastAsia" w:ascii="Times New Roman" w:hAnsi="Times New Roman" w:eastAsia="方正小标宋简体"/>
          <w:color w:val="000000"/>
          <w:kern w:val="0"/>
          <w:sz w:val="40"/>
          <w:szCs w:val="40"/>
        </w:rPr>
        <w:t>安岳县202</w:t>
      </w:r>
      <w:r>
        <w:rPr>
          <w:rFonts w:hint="eastAsia" w:ascii="Times New Roman" w:hAnsi="Times New Roman" w:eastAsia="方正小标宋简体"/>
          <w:color w:val="000000"/>
          <w:kern w:val="0"/>
          <w:sz w:val="40"/>
          <w:szCs w:val="40"/>
          <w:lang w:val="en-US" w:eastAsia="zh-CN"/>
        </w:rPr>
        <w:t>3</w:t>
      </w:r>
      <w:r>
        <w:rPr>
          <w:rFonts w:hint="eastAsia" w:ascii="Times New Roman" w:hAnsi="Times New Roman" w:eastAsia="方正小标宋简体"/>
          <w:color w:val="000000"/>
          <w:kern w:val="0"/>
          <w:sz w:val="40"/>
          <w:szCs w:val="40"/>
        </w:rPr>
        <w:t>年度项目支出绩效自评计分表</w:t>
      </w:r>
    </w:p>
    <w:p>
      <w:pPr>
        <w:autoSpaceDE w:val="0"/>
        <w:autoSpaceDN w:val="0"/>
        <w:adjustRightInd w:val="0"/>
        <w:spacing w:line="580" w:lineRule="exact"/>
        <w:jc w:val="center"/>
        <w:rPr>
          <w:rFonts w:hint="eastAsia" w:ascii="宋体" w:hAnsi="宋体" w:eastAsia="方正楷体_GBK" w:cs="方正楷体_GBK"/>
          <w:b/>
          <w:bCs/>
          <w:sz w:val="32"/>
          <w:szCs w:val="32"/>
          <w:lang w:val="en-US" w:eastAsia="zh-CN"/>
        </w:rPr>
      </w:pPr>
      <w:r>
        <w:rPr>
          <w:rFonts w:hint="eastAsia" w:ascii="宋体" w:hAnsi="宋体" w:eastAsia="方正楷体_GBK" w:cs="方正楷体_GBK"/>
          <w:b/>
          <w:bCs/>
          <w:sz w:val="32"/>
          <w:szCs w:val="32"/>
          <w:lang w:val="en-US" w:eastAsia="zh-CN"/>
        </w:rPr>
        <w:t>（临时聘用人员经费）</w:t>
      </w:r>
    </w:p>
    <w:p>
      <w:pPr>
        <w:spacing w:line="620" w:lineRule="exact"/>
        <w:rPr>
          <w:rFonts w:ascii="Times New Roman" w:hAnsi="Times New Roman" w:eastAsia="方正黑体简体"/>
          <w:sz w:val="32"/>
          <w:szCs w:val="32"/>
        </w:rPr>
      </w:pPr>
      <w:r>
        <w:rPr>
          <w:rFonts w:hint="eastAsia" w:ascii="Times New Roman" w:hAnsi="Times New Roman" w:eastAsia="楷体_GB2312"/>
          <w:b/>
          <w:bCs/>
          <w:kern w:val="0"/>
          <w:sz w:val="20"/>
          <w:szCs w:val="20"/>
          <w:lang w:eastAsia="zh-CN"/>
        </w:rPr>
        <w:t>预算单位名称：</w:t>
      </w:r>
      <w:r>
        <w:rPr>
          <w:rFonts w:hint="eastAsia" w:ascii="Times New Roman" w:hAnsi="Times New Roman" w:eastAsia="楷体_GB2312"/>
          <w:b/>
          <w:bCs/>
          <w:kern w:val="0"/>
          <w:sz w:val="20"/>
          <w:szCs w:val="20"/>
          <w:lang w:val="en-US" w:eastAsia="zh-CN"/>
        </w:rPr>
        <w:t xml:space="preserve">中国共产党安岳县纪律检查委员会    </w:t>
      </w:r>
      <w:r>
        <w:rPr>
          <w:rFonts w:hint="eastAsia" w:ascii="Times New Roman" w:hAnsi="Times New Roman" w:eastAsia="楷体_GB2312"/>
          <w:b/>
          <w:bCs/>
          <w:kern w:val="0"/>
          <w:sz w:val="20"/>
          <w:szCs w:val="20"/>
          <w:lang w:eastAsia="zh-CN"/>
        </w:rPr>
        <w:t>预算单位编码：</w:t>
      </w:r>
      <w:r>
        <w:rPr>
          <w:rFonts w:hint="eastAsia" w:ascii="Times New Roman" w:hAnsi="Times New Roman" w:eastAsia="楷体_GB2312"/>
          <w:b/>
          <w:bCs/>
          <w:kern w:val="0"/>
          <w:sz w:val="20"/>
          <w:szCs w:val="20"/>
          <w:lang w:val="en-US" w:eastAsia="zh-CN"/>
        </w:rPr>
        <w:t xml:space="preserve">103001    </w:t>
      </w:r>
      <w:r>
        <w:rPr>
          <w:rFonts w:hint="eastAsia" w:ascii="Times New Roman" w:hAnsi="Times New Roman" w:eastAsia="楷体_GB2312"/>
          <w:b/>
          <w:bCs/>
          <w:kern w:val="0"/>
          <w:sz w:val="20"/>
          <w:szCs w:val="20"/>
          <w:lang w:eastAsia="zh-CN"/>
        </w:rPr>
        <w:t>自评等级：</w:t>
      </w:r>
      <w:r>
        <w:rPr>
          <w:rFonts w:hint="eastAsia" w:ascii="Times New Roman" w:hAnsi="Times New Roman" w:eastAsia="楷体_GB2312"/>
          <w:b/>
          <w:bCs/>
          <w:kern w:val="0"/>
          <w:sz w:val="20"/>
          <w:szCs w:val="20"/>
          <w:lang w:val="en-US" w:eastAsia="zh-CN"/>
        </w:rPr>
        <w:t>优</w:t>
      </w:r>
      <w:r>
        <w:rPr>
          <w:rFonts w:hint="eastAsia" w:ascii="Times New Roman" w:hAnsi="Times New Roman" w:eastAsia="楷体_GB2312"/>
          <w:b/>
          <w:bCs/>
          <w:kern w:val="0"/>
          <w:sz w:val="20"/>
          <w:szCs w:val="20"/>
          <w:lang w:eastAsia="zh-CN"/>
        </w:rPr>
        <w:t xml:space="preserve"> </w:t>
      </w:r>
      <w:r>
        <w:rPr>
          <w:rFonts w:ascii="Times New Roman" w:hAnsi="Times New Roman" w:eastAsia="楷体_GB2312"/>
          <w:b/>
          <w:bCs/>
          <w:kern w:val="0"/>
          <w:sz w:val="20"/>
          <w:szCs w:val="20"/>
        </w:rPr>
        <w:t xml:space="preserve">          </w:t>
      </w:r>
    </w:p>
    <w:tbl>
      <w:tblPr>
        <w:tblStyle w:val="18"/>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61"/>
        <w:gridCol w:w="804"/>
        <w:gridCol w:w="1852"/>
        <w:gridCol w:w="3093"/>
        <w:gridCol w:w="66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673" w:type="dxa"/>
            <w:shd w:val="clear" w:color="000000" w:fill="FFFFFF"/>
            <w:noWrap w:val="0"/>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一级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661" w:type="dxa"/>
            <w:shd w:val="clear" w:color="000000" w:fill="FFFFFF"/>
            <w:noWrap w:val="0"/>
            <w:vAlign w:val="center"/>
          </w:tcPr>
          <w:p>
            <w:pPr>
              <w:widowControl/>
              <w:jc w:val="center"/>
              <w:rPr>
                <w:rFonts w:hint="eastAsia" w:ascii="Times New Roman" w:hAnsi="Times New Roman" w:eastAsia="宋体"/>
                <w:b/>
                <w:bCs/>
                <w:kern w:val="0"/>
                <w:sz w:val="20"/>
                <w:szCs w:val="20"/>
                <w:lang w:eastAsia="zh-CN"/>
              </w:rPr>
            </w:pPr>
            <w:r>
              <w:rPr>
                <w:rFonts w:ascii="Times New Roman" w:hAnsi="Times New Roman"/>
                <w:b/>
                <w:bCs/>
                <w:kern w:val="0"/>
                <w:sz w:val="20"/>
                <w:szCs w:val="20"/>
              </w:rPr>
              <w:t>二级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804"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三级</w:t>
            </w:r>
          </w:p>
          <w:p>
            <w:pPr>
              <w:widowControl/>
              <w:jc w:val="center"/>
              <w:rPr>
                <w:rFonts w:ascii="Times New Roman" w:hAnsi="Times New Roman"/>
                <w:b/>
                <w:bCs/>
                <w:kern w:val="0"/>
                <w:sz w:val="20"/>
                <w:szCs w:val="20"/>
              </w:rPr>
            </w:pPr>
            <w:r>
              <w:rPr>
                <w:rFonts w:ascii="Times New Roman" w:hAnsi="Times New Roman"/>
                <w:b/>
                <w:bCs/>
                <w:kern w:val="0"/>
                <w:sz w:val="20"/>
                <w:szCs w:val="20"/>
              </w:rPr>
              <w:t>指标</w:t>
            </w:r>
          </w:p>
        </w:tc>
        <w:tc>
          <w:tcPr>
            <w:tcW w:w="1852"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指标解释</w:t>
            </w:r>
          </w:p>
        </w:tc>
        <w:tc>
          <w:tcPr>
            <w:tcW w:w="3093"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指标说明（评价计分标准）</w:t>
            </w:r>
          </w:p>
        </w:tc>
        <w:tc>
          <w:tcPr>
            <w:tcW w:w="669"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自评</w:t>
            </w:r>
          </w:p>
          <w:p>
            <w:pPr>
              <w:widowControl/>
              <w:jc w:val="center"/>
              <w:rPr>
                <w:rFonts w:ascii="Times New Roman" w:hAnsi="Times New Roman"/>
                <w:b/>
                <w:bCs/>
                <w:kern w:val="0"/>
                <w:sz w:val="20"/>
                <w:szCs w:val="20"/>
              </w:rPr>
            </w:pPr>
            <w:r>
              <w:rPr>
                <w:rFonts w:ascii="Times New Roman" w:hAnsi="Times New Roman"/>
                <w:b/>
                <w:bCs/>
                <w:kern w:val="0"/>
                <w:sz w:val="20"/>
                <w:szCs w:val="20"/>
              </w:rPr>
              <w:t>分数</w:t>
            </w:r>
          </w:p>
        </w:tc>
        <w:tc>
          <w:tcPr>
            <w:tcW w:w="1538" w:type="dxa"/>
            <w:shd w:val="clear" w:color="000000" w:fill="FFFFFF"/>
            <w:noWrap w:val="0"/>
            <w:vAlign w:val="center"/>
          </w:tcPr>
          <w:p>
            <w:pPr>
              <w:widowControl/>
              <w:jc w:val="center"/>
              <w:rPr>
                <w:rFonts w:ascii="Times New Roman" w:hAnsi="Times New Roman"/>
                <w:b/>
                <w:bCs/>
                <w:kern w:val="0"/>
                <w:sz w:val="20"/>
                <w:szCs w:val="20"/>
              </w:rPr>
            </w:pPr>
            <w:r>
              <w:rPr>
                <w:rFonts w:ascii="Times New Roman" w:hAnsi="Times New Roman"/>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投   入（25分）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立项（15分）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项目立项规范性（5分）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项目的申请、设立过程是否符合相关要求，用以反映和考核项目立项的规范情况。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项目是否按照规定的程序申请设立；（1分）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所提交的文件、材料是否符合相关要求；（2分）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③</w:t>
            </w:r>
            <w:r>
              <w:rPr>
                <w:rFonts w:ascii="Times New Roman" w:hAnsi="Times New Roman"/>
                <w:kern w:val="0"/>
                <w:sz w:val="20"/>
                <w:szCs w:val="20"/>
              </w:rPr>
              <w:t>事前是否已经过必要的可行性研究、专家论证、风险评估、集体决策等。（2分）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hint="eastAsia" w:ascii="Times New Roman" w:hAnsi="Times New Roman" w:eastAsia="宋体" w:cs="Times New Roman"/>
                <w:kern w:val="0"/>
                <w:sz w:val="18"/>
                <w:szCs w:val="18"/>
                <w:lang w:val="en-US" w:eastAsia="zh-CN"/>
              </w:rPr>
            </w:pPr>
            <w:r>
              <w:rPr>
                <w:rFonts w:hint="eastAsia" w:ascii="Times New Roman" w:hAnsi="Times New Roman" w:eastAsia="宋体" w:cs="Times New Roman"/>
                <w:kern w:val="0"/>
                <w:sz w:val="20"/>
                <w:szCs w:val="20"/>
              </w:rPr>
              <w:t>严格按照县财政局相关要求做好项目申请、入库、登记等流程，相关资料留存备查</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绩效目标合理性（4分）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项目所设定的绩效目标是否依据充分，是否符合客观实际，用以反映和考核项目绩效目标与项目实施的相符情况。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是否符合国家相关法律法规、国民经济发展规划和党委政府决策；（1分）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是否与项目实施单位或委托单位职责密切相关；（1分）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项目是否为促进事业发展所必需；（1分）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项目预期产出效益和效果是否符合正常的业绩水平。（1分）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4</w:t>
            </w:r>
          </w:p>
        </w:tc>
        <w:tc>
          <w:tcPr>
            <w:tcW w:w="1538" w:type="dxa"/>
            <w:noWrap/>
            <w:vAlign w:val="center"/>
          </w:tcPr>
          <w:p>
            <w:pPr>
              <w:widowControl/>
              <w:jc w:val="left"/>
              <w:rPr>
                <w:rFonts w:ascii="Times New Roman" w:hAnsi="Times New Roman"/>
                <w:kern w:val="0"/>
                <w:sz w:val="18"/>
                <w:szCs w:val="18"/>
              </w:rPr>
            </w:pPr>
            <w:r>
              <w:rPr>
                <w:rFonts w:ascii="宋体" w:hAnsi="宋体"/>
                <w:kern w:val="0"/>
                <w:sz w:val="20"/>
                <w:szCs w:val="20"/>
              </w:rPr>
              <w:t>项目所设定的绩效目标依据充分，符合客观实际</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绩效指标明确性（6分）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依据绩效目标设定的绩效指标是否清晰、细化、可衡量等，用以反映和考核项目绩效目标的明细化情况。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是否将项目绩效目标细化分解为具体的绩效指标；（2分）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是否通过清晰、可衡量的指标值予以体现；（1分）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是否与项目年度任务数或计划数相对应；（1分）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是否与预算确定的项目投资额或资金量相匹配。（2分）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c>
          <w:tcPr>
            <w:tcW w:w="1538" w:type="dxa"/>
            <w:noWrap/>
            <w:vAlign w:val="center"/>
          </w:tcPr>
          <w:p>
            <w:pPr>
              <w:widowControl/>
              <w:jc w:val="left"/>
              <w:rPr>
                <w:rFonts w:ascii="Times New Roman" w:hAnsi="Times New Roman"/>
                <w:kern w:val="0"/>
                <w:sz w:val="18"/>
                <w:szCs w:val="18"/>
              </w:rPr>
            </w:pPr>
            <w:r>
              <w:rPr>
                <w:rFonts w:ascii="宋体" w:hAnsi="宋体"/>
                <w:kern w:val="0"/>
                <w:sz w:val="20"/>
                <w:szCs w:val="20"/>
              </w:rPr>
              <w:t>依据绩效目标设定的绩效指标清晰、细化、可衡量</w:t>
            </w:r>
            <w:r>
              <w:rPr>
                <w:rFonts w:hint="eastAsia" w:ascii="宋体" w:hAnsi="宋体"/>
                <w:kern w:val="0"/>
                <w:sz w:val="20"/>
                <w:szCs w:val="20"/>
                <w:lang w:eastAsia="zh-CN"/>
              </w:rPr>
              <w:t>，</w:t>
            </w:r>
            <w:r>
              <w:rPr>
                <w:rFonts w:hint="eastAsia" w:ascii="宋体" w:hAnsi="宋体"/>
                <w:kern w:val="0"/>
                <w:sz w:val="20"/>
                <w:szCs w:val="20"/>
                <w:lang w:val="en-US" w:eastAsia="zh-CN"/>
              </w:rPr>
              <w:t>符合实际。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资金</w:t>
            </w:r>
          </w:p>
          <w:p>
            <w:pPr>
              <w:widowControl/>
              <w:jc w:val="center"/>
              <w:rPr>
                <w:rFonts w:ascii="Times New Roman" w:hAnsi="Times New Roman"/>
                <w:kern w:val="0"/>
                <w:sz w:val="20"/>
                <w:szCs w:val="20"/>
              </w:rPr>
            </w:pPr>
            <w:r>
              <w:rPr>
                <w:rFonts w:ascii="Times New Roman" w:hAnsi="Times New Roman"/>
                <w:kern w:val="0"/>
                <w:sz w:val="20"/>
                <w:szCs w:val="20"/>
              </w:rPr>
              <w:t>落实（10分）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资金到位率（5分）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实际到位资金与计划投入资金的比率，用以反映和考核资金落实情况对项目实施的总体保障程度。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资金到位率=（实际到位资金/计划投入资金）×100%。（达到目标值得5分，每少一个百分点扣1分，扣完为止）</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实际到位资金：一定时期（本年度或项目期）内实际落实到具体项目的资金。</w:t>
            </w:r>
          </w:p>
          <w:p>
            <w:pPr>
              <w:widowControl/>
              <w:jc w:val="left"/>
              <w:rPr>
                <w:rFonts w:ascii="Times New Roman" w:hAnsi="Times New Roman"/>
                <w:kern w:val="0"/>
                <w:sz w:val="20"/>
                <w:szCs w:val="20"/>
              </w:rPr>
            </w:pPr>
            <w:r>
              <w:rPr>
                <w:rFonts w:ascii="Times New Roman" w:hAnsi="Times New Roman"/>
                <w:kern w:val="0"/>
                <w:sz w:val="20"/>
                <w:szCs w:val="20"/>
              </w:rPr>
              <w:t>计划投入资金：一定时期（本年度或项目期）内计划投入到具体项目的资金。</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hint="eastAsia" w:ascii="Times New Roman" w:hAnsi="Times New Roman" w:eastAsia="宋体" w:cs="Times New Roman"/>
                <w:kern w:val="0"/>
                <w:sz w:val="20"/>
                <w:szCs w:val="20"/>
              </w:rPr>
              <w:t>实际到位</w:t>
            </w:r>
            <w:r>
              <w:rPr>
                <w:rFonts w:hint="eastAsia" w:ascii="Times New Roman" w:hAnsi="Times New Roman" w:eastAsia="宋体" w:cs="Times New Roman"/>
                <w:kern w:val="0"/>
                <w:sz w:val="20"/>
                <w:szCs w:val="20"/>
                <w:lang w:val="en-US" w:eastAsia="zh-CN"/>
              </w:rPr>
              <w:t>16</w:t>
            </w:r>
            <w:r>
              <w:rPr>
                <w:rFonts w:hint="eastAsia" w:ascii="Times New Roman" w:hAnsi="Times New Roman" w:eastAsia="宋体" w:cs="Times New Roman"/>
                <w:kern w:val="0"/>
                <w:sz w:val="20"/>
                <w:szCs w:val="20"/>
              </w:rPr>
              <w:t>万元/计划投入</w:t>
            </w:r>
            <w:r>
              <w:rPr>
                <w:rFonts w:hint="eastAsia" w:ascii="Times New Roman" w:hAnsi="Times New Roman" w:eastAsia="宋体" w:cs="Times New Roman"/>
                <w:kern w:val="0"/>
                <w:sz w:val="20"/>
                <w:szCs w:val="20"/>
                <w:lang w:val="en-US" w:eastAsia="zh-CN"/>
              </w:rPr>
              <w:t>16</w:t>
            </w:r>
            <w:r>
              <w:rPr>
                <w:rFonts w:hint="eastAsia" w:ascii="Times New Roman" w:hAnsi="Times New Roman" w:eastAsia="宋体" w:cs="Times New Roman"/>
                <w:kern w:val="0"/>
                <w:sz w:val="20"/>
                <w:szCs w:val="20"/>
              </w:rPr>
              <w:t>万元*100%=100%</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到位及时率（5分）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及时到位资金与应到位资金的比率，用以反映和考核项目资金落实的及时性程度。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到位及时率=（及时到位资金/应到位资金）×100%。（达到目标值得5分，每少一个百分点扣1分，扣完为止）</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及时到位资金：截至规定时点实际落实到具体项目的资金。</w:t>
            </w:r>
          </w:p>
          <w:p>
            <w:pPr>
              <w:widowControl/>
              <w:jc w:val="left"/>
              <w:rPr>
                <w:rFonts w:ascii="Times New Roman" w:hAnsi="Times New Roman"/>
                <w:kern w:val="0"/>
                <w:sz w:val="20"/>
                <w:szCs w:val="20"/>
              </w:rPr>
            </w:pPr>
            <w:r>
              <w:rPr>
                <w:rFonts w:ascii="Times New Roman" w:hAnsi="Times New Roman"/>
                <w:kern w:val="0"/>
                <w:sz w:val="20"/>
                <w:szCs w:val="20"/>
              </w:rPr>
              <w:t>应到位资金：按照合同或项目进度要求截至规定时点应落实到具体项目的资金。</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ascii="宋体" w:hAnsi="宋体"/>
                <w:kern w:val="0"/>
                <w:sz w:val="20"/>
                <w:szCs w:val="20"/>
              </w:rPr>
              <w:t>及</w:t>
            </w:r>
            <w:r>
              <w:rPr>
                <w:rFonts w:ascii="Times New Roman" w:hAnsi="Times New Roman" w:eastAsia="宋体" w:cs="Times New Roman"/>
                <w:kern w:val="0"/>
                <w:sz w:val="20"/>
                <w:szCs w:val="20"/>
              </w:rPr>
              <w:t>时到位资金</w:t>
            </w:r>
            <w:r>
              <w:rPr>
                <w:rFonts w:hint="eastAsia" w:ascii="Times New Roman" w:hAnsi="Times New Roman" w:eastAsia="宋体" w:cs="Times New Roman"/>
                <w:kern w:val="0"/>
                <w:sz w:val="20"/>
                <w:szCs w:val="20"/>
                <w:lang w:val="en-US" w:eastAsia="zh-CN"/>
              </w:rPr>
              <w:t>16万元</w:t>
            </w:r>
            <w:r>
              <w:rPr>
                <w:rFonts w:ascii="Times New Roman" w:hAnsi="Times New Roman" w:eastAsia="宋体" w:cs="Times New Roman"/>
                <w:kern w:val="0"/>
                <w:sz w:val="20"/>
                <w:szCs w:val="20"/>
              </w:rPr>
              <w:t>/应到位资金</w:t>
            </w:r>
            <w:r>
              <w:rPr>
                <w:rFonts w:hint="eastAsia" w:ascii="Times New Roman" w:hAnsi="Times New Roman" w:eastAsia="宋体" w:cs="Times New Roman"/>
                <w:kern w:val="0"/>
                <w:sz w:val="20"/>
                <w:szCs w:val="20"/>
                <w:lang w:val="en-US" w:eastAsia="zh-CN"/>
              </w:rPr>
              <w:t>16万元</w:t>
            </w:r>
            <w:r>
              <w:rPr>
                <w:rFonts w:ascii="Times New Roman" w:hAnsi="Times New Roman" w:eastAsia="宋体" w:cs="Times New Roman"/>
                <w:kern w:val="0"/>
                <w:sz w:val="20"/>
                <w:szCs w:val="20"/>
              </w:rPr>
              <w:t>×100%</w:t>
            </w:r>
            <w:r>
              <w:rPr>
                <w:rFonts w:hint="eastAsia" w:ascii="Times New Roman" w:hAnsi="Times New Roman" w:eastAsia="宋体" w:cs="Times New Roman"/>
                <w:kern w:val="0"/>
                <w:sz w:val="20"/>
                <w:szCs w:val="20"/>
              </w:rPr>
              <w:t>=100%</w:t>
            </w:r>
            <w:r>
              <w:rPr>
                <w:rFonts w:hint="eastAsia" w:ascii="Times New Roman" w:hAnsi="Times New Roman" w:eastAsia="宋体" w:cs="Times New Roman"/>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过   程（25分）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业务</w:t>
            </w:r>
          </w:p>
          <w:p>
            <w:pPr>
              <w:widowControl/>
              <w:jc w:val="center"/>
              <w:rPr>
                <w:rFonts w:ascii="Times New Roman" w:hAnsi="Times New Roman"/>
                <w:kern w:val="0"/>
                <w:sz w:val="20"/>
                <w:szCs w:val="20"/>
              </w:rPr>
            </w:pPr>
            <w:r>
              <w:rPr>
                <w:rFonts w:ascii="Times New Roman" w:hAnsi="Times New Roman"/>
                <w:kern w:val="0"/>
                <w:sz w:val="20"/>
                <w:szCs w:val="20"/>
              </w:rPr>
              <w:t>管理（13分）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管理制度健全性（4分）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项目实施单位的业务管理制度是否健全，用以反映和考核业务管理制度对项目顺利实施的保障情况。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是否已制定或具有相应的业务管理制度；（2分）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业务管理制度是否合法、合规、完整。（2分）</w:t>
            </w:r>
          </w:p>
        </w:tc>
        <w:tc>
          <w:tcPr>
            <w:tcW w:w="669" w:type="dxa"/>
            <w:noWrap/>
            <w:vAlign w:val="center"/>
          </w:tcPr>
          <w:p>
            <w:pPr>
              <w:widowControl/>
              <w:jc w:val="center"/>
              <w:rPr>
                <w:rFonts w:ascii="Times New Roman" w:hAnsi="Times New Roman"/>
                <w:kern w:val="0"/>
                <w:sz w:val="24"/>
              </w:rPr>
            </w:pPr>
            <w:r>
              <w:rPr>
                <w:rFonts w:hint="eastAsia" w:ascii="Times New Roman" w:hAnsi="Times New Roman"/>
                <w:kern w:val="0"/>
                <w:sz w:val="24"/>
                <w:lang w:val="en-US" w:eastAsia="zh-CN"/>
              </w:rPr>
              <w:t>4</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hint="eastAsia" w:ascii="宋体" w:hAnsi="宋体"/>
                <w:kern w:val="0"/>
                <w:sz w:val="20"/>
                <w:szCs w:val="20"/>
              </w:rPr>
              <w:t>已制定</w:t>
            </w:r>
            <w:r>
              <w:rPr>
                <w:rFonts w:hint="eastAsia" w:ascii="宋体" w:hAnsi="宋体"/>
                <w:kern w:val="0"/>
                <w:sz w:val="20"/>
                <w:szCs w:val="20"/>
                <w:lang w:val="en-US" w:eastAsia="zh-CN"/>
              </w:rPr>
              <w:t>项目</w:t>
            </w:r>
            <w:r>
              <w:rPr>
                <w:rFonts w:ascii="宋体" w:hAnsi="宋体"/>
                <w:kern w:val="0"/>
                <w:sz w:val="20"/>
                <w:szCs w:val="20"/>
              </w:rPr>
              <w:t>相应的业务管理制度</w:t>
            </w:r>
            <w:r>
              <w:rPr>
                <w:rFonts w:hint="eastAsia" w:ascii="宋体" w:hAnsi="宋体"/>
                <w:kern w:val="0"/>
                <w:sz w:val="20"/>
                <w:szCs w:val="20"/>
              </w:rPr>
              <w:t>,并严格落实</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制度执行有效性（6分)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项目实施是否符合相关业务管理规定，用以反映和考核业务管理制度的有效执行情况。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是否遵守相关法律法规和业务管理规定；(1分）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项目调整及支出调整手续是否完备；（1分）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项目合同书、验收报告、技术鉴定等资料是否齐全并及时归档；（2分）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④</w:t>
            </w:r>
            <w:r>
              <w:rPr>
                <w:rFonts w:ascii="Times New Roman" w:hAnsi="Times New Roman"/>
                <w:kern w:val="0"/>
                <w:sz w:val="20"/>
                <w:szCs w:val="20"/>
              </w:rPr>
              <w:t>项目实施的人员条件、场地设备、信息支撑等是否落实到位。（2分）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hint="eastAsia" w:ascii="宋体" w:hAnsi="宋体"/>
                <w:kern w:val="0"/>
                <w:sz w:val="20"/>
                <w:szCs w:val="20"/>
              </w:rPr>
              <w:t>严格按照法律法规实施项目,程序合规,资料完整归档,人财物保障到位</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项目质量可控性（3分）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项目实施单位是否为达到项目质量要求而采取了必需的措施,用以反映和考核项目实施单位对项目质量的控制情况。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是否已制定或具有相应的项目质量要求或标准；（1分）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是否采取了相应的项目质量检查、验收等必需的控制措施或手段。（2分）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3</w:t>
            </w:r>
          </w:p>
        </w:tc>
        <w:tc>
          <w:tcPr>
            <w:tcW w:w="1538" w:type="dxa"/>
            <w:noWrap/>
            <w:vAlign w:val="center"/>
          </w:tcPr>
          <w:p>
            <w:pPr>
              <w:widowControl/>
              <w:jc w:val="left"/>
              <w:rPr>
                <w:rFonts w:ascii="Times New Roman" w:hAnsi="Times New Roman"/>
                <w:kern w:val="0"/>
                <w:sz w:val="18"/>
                <w:szCs w:val="18"/>
              </w:rPr>
            </w:pPr>
            <w:r>
              <w:rPr>
                <w:rFonts w:hint="eastAsia" w:ascii="宋体" w:hAnsi="宋体"/>
                <w:kern w:val="0"/>
                <w:sz w:val="20"/>
                <w:szCs w:val="20"/>
              </w:rPr>
              <w:t>已制定</w:t>
            </w:r>
            <w:r>
              <w:rPr>
                <w:rFonts w:hint="eastAsia" w:ascii="宋体" w:hAnsi="宋体"/>
                <w:kern w:val="0"/>
                <w:sz w:val="20"/>
                <w:szCs w:val="20"/>
                <w:lang w:val="en-US" w:eastAsia="zh-CN"/>
              </w:rPr>
              <w:t>项目经费使用和管理办法。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财务</w:t>
            </w:r>
          </w:p>
          <w:p>
            <w:pPr>
              <w:widowControl/>
              <w:jc w:val="center"/>
              <w:rPr>
                <w:rFonts w:ascii="Times New Roman" w:hAnsi="Times New Roman"/>
                <w:kern w:val="0"/>
                <w:sz w:val="20"/>
                <w:szCs w:val="20"/>
              </w:rPr>
            </w:pPr>
            <w:r>
              <w:rPr>
                <w:rFonts w:ascii="Times New Roman" w:hAnsi="Times New Roman"/>
                <w:kern w:val="0"/>
                <w:sz w:val="20"/>
                <w:szCs w:val="20"/>
              </w:rPr>
              <w:t>管理（12分）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管理制度健全性（3分）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项目实施单位的财务制度是否健全，用以反映和考核财务管理制度对资金规范、安全运行的保障情况。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是否已制定或具有相应的项目资金管理办法；（2分）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项目资金管理办法是否符合相关财务会计制度的规定。（1分）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3</w:t>
            </w:r>
          </w:p>
        </w:tc>
        <w:tc>
          <w:tcPr>
            <w:tcW w:w="1538" w:type="dxa"/>
            <w:noWrap/>
            <w:vAlign w:val="center"/>
          </w:tcPr>
          <w:p>
            <w:pPr>
              <w:widowControl/>
              <w:jc w:val="left"/>
              <w:rPr>
                <w:rFonts w:ascii="Times New Roman" w:hAnsi="Times New Roman"/>
                <w:kern w:val="0"/>
                <w:sz w:val="18"/>
                <w:szCs w:val="18"/>
              </w:rPr>
            </w:pPr>
            <w:r>
              <w:rPr>
                <w:rFonts w:hint="eastAsia" w:ascii="宋体" w:hAnsi="宋体"/>
                <w:kern w:val="0"/>
                <w:sz w:val="20"/>
                <w:szCs w:val="20"/>
                <w:lang w:val="en-US" w:eastAsia="zh-CN"/>
              </w:rPr>
              <w:t>制定了工作方案和考核办法。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资金使用合规性（7分）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项目资金使用是否符合相关的财务管理制度规定，用以反映和考核项目资金的规范运行情况。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是否符合国家财经法规和财务管理制度以及有关专项资金管理办法的规定；（1分）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②</w:t>
            </w:r>
            <w:r>
              <w:rPr>
                <w:rFonts w:ascii="Times New Roman" w:hAnsi="Times New Roman"/>
                <w:kern w:val="0"/>
                <w:sz w:val="20"/>
                <w:szCs w:val="20"/>
              </w:rPr>
              <w:t>资金的拨付是否有完整的审批程序和手续；（2分）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③</w:t>
            </w:r>
            <w:r>
              <w:rPr>
                <w:rFonts w:ascii="Times New Roman" w:hAnsi="Times New Roman"/>
                <w:kern w:val="0"/>
                <w:sz w:val="20"/>
                <w:szCs w:val="20"/>
              </w:rPr>
              <w:t>项目的重大开支是否经过评估认证；（1分）</w:t>
            </w:r>
          </w:p>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④</w:t>
            </w:r>
            <w:r>
              <w:rPr>
                <w:rFonts w:ascii="Times New Roman" w:hAnsi="Times New Roman"/>
                <w:kern w:val="0"/>
                <w:sz w:val="20"/>
                <w:szCs w:val="20"/>
              </w:rPr>
              <w:t>是否符合项目预算批复或合同规定的用途；（1分）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⑤</w:t>
            </w:r>
            <w:r>
              <w:rPr>
                <w:rFonts w:ascii="Times New Roman" w:hAnsi="Times New Roman"/>
                <w:kern w:val="0"/>
                <w:sz w:val="20"/>
                <w:szCs w:val="20"/>
              </w:rPr>
              <w:t>是否存在截留、挤占、挪用、虚列支出等情况。（2分）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7</w:t>
            </w:r>
          </w:p>
        </w:tc>
        <w:tc>
          <w:tcPr>
            <w:tcW w:w="1538" w:type="dxa"/>
            <w:noWrap/>
            <w:vAlign w:val="center"/>
          </w:tcPr>
          <w:p>
            <w:pPr>
              <w:widowControl/>
              <w:jc w:val="left"/>
              <w:rPr>
                <w:rFonts w:hint="eastAsia" w:ascii="Times New Roman" w:hAnsi="Times New Roman" w:eastAsia="宋体"/>
                <w:kern w:val="0"/>
                <w:sz w:val="18"/>
                <w:szCs w:val="18"/>
                <w:lang w:eastAsia="zh-CN"/>
              </w:rPr>
            </w:pPr>
            <w:r>
              <w:rPr>
                <w:rFonts w:hint="eastAsia" w:ascii="宋体" w:hAnsi="宋体"/>
                <w:kern w:val="0"/>
                <w:sz w:val="20"/>
                <w:szCs w:val="20"/>
              </w:rPr>
              <w:t>符合相关财经法规制度,严格审批程序,专款专用,未发现违规违纪行为</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财务监控有效性（2分）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项目实施单位是否为保障资金的安全、规范运行而采取了必要的监控措施，用以反映和考核项目实施单位对资金运行的控制情况。</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cs="宋体"/>
                <w:kern w:val="0"/>
                <w:sz w:val="20"/>
                <w:szCs w:val="20"/>
              </w:rPr>
              <w:t>①</w:t>
            </w:r>
            <w:r>
              <w:rPr>
                <w:rFonts w:ascii="Times New Roman" w:hAnsi="Times New Roman"/>
                <w:kern w:val="0"/>
                <w:sz w:val="20"/>
                <w:szCs w:val="20"/>
              </w:rPr>
              <w:t>是否已制定或具有相应的监控机制；（1分）</w:t>
            </w:r>
          </w:p>
          <w:p>
            <w:pPr>
              <w:widowControl/>
              <w:jc w:val="left"/>
              <w:rPr>
                <w:rFonts w:ascii="Times New Roman" w:hAnsi="Times New Roman"/>
                <w:kern w:val="0"/>
                <w:sz w:val="20"/>
                <w:szCs w:val="20"/>
              </w:rPr>
            </w:pPr>
            <w:r>
              <w:rPr>
                <w:rFonts w:hint="eastAsia" w:ascii="Times New Roman" w:hAnsi="Times New Roman" w:cs="宋体"/>
                <w:kern w:val="0"/>
                <w:sz w:val="20"/>
                <w:szCs w:val="20"/>
              </w:rPr>
              <w:t>②</w:t>
            </w:r>
            <w:r>
              <w:rPr>
                <w:rFonts w:ascii="Times New Roman" w:hAnsi="Times New Roman"/>
                <w:kern w:val="0"/>
                <w:sz w:val="20"/>
                <w:szCs w:val="20"/>
              </w:rPr>
              <w:t>是否采取了相应的财务检查等必要的监控措施或手段。（1分）</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2</w:t>
            </w:r>
          </w:p>
        </w:tc>
        <w:tc>
          <w:tcPr>
            <w:tcW w:w="1538" w:type="dxa"/>
            <w:noWrap/>
            <w:vAlign w:val="center"/>
          </w:tcPr>
          <w:p>
            <w:pPr>
              <w:widowControl/>
              <w:jc w:val="left"/>
              <w:rPr>
                <w:rFonts w:hint="eastAsia" w:ascii="Times New Roman" w:hAnsi="Times New Roman" w:eastAsia="宋体"/>
                <w:kern w:val="0"/>
                <w:sz w:val="18"/>
                <w:szCs w:val="18"/>
                <w:lang w:val="en-US" w:eastAsia="zh-CN"/>
              </w:rPr>
            </w:pPr>
            <w:r>
              <w:rPr>
                <w:rFonts w:hint="eastAsia" w:ascii="宋体" w:hAnsi="宋体"/>
                <w:kern w:val="0"/>
                <w:sz w:val="20"/>
                <w:szCs w:val="20"/>
              </w:rPr>
              <w:t>实时监控分析财务收支流水账,全面掌握项目资金运行情况</w:t>
            </w:r>
            <w:r>
              <w:rPr>
                <w:rFonts w:hint="eastAsia" w:ascii="宋体" w:hAnsi="宋体"/>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产   出（20分）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产出（20分）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实际完成率（4分）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项目实施的实际产出数与计划产出数的比率，用以反映和考核项目产出数量目标的实现程度。</w:t>
            </w:r>
          </w:p>
        </w:tc>
        <w:tc>
          <w:tcPr>
            <w:tcW w:w="3093" w:type="dxa"/>
            <w:shd w:val="clear" w:color="000000" w:fill="FFFFFF"/>
            <w:noWrap w:val="0"/>
            <w:vAlign w:val="center"/>
          </w:tcPr>
          <w:p>
            <w:pPr>
              <w:widowControl/>
              <w:jc w:val="left"/>
              <w:rPr>
                <w:rFonts w:hint="eastAsia" w:ascii="Times New Roman" w:hAnsi="Times New Roman" w:eastAsia="宋体"/>
                <w:spacing w:val="-14"/>
                <w:kern w:val="0"/>
                <w:sz w:val="20"/>
                <w:szCs w:val="20"/>
                <w:lang w:eastAsia="zh-CN"/>
              </w:rPr>
            </w:pPr>
            <w:r>
              <w:rPr>
                <w:rFonts w:ascii="Times New Roman" w:hAnsi="Times New Roman"/>
                <w:spacing w:val="-14"/>
                <w:kern w:val="0"/>
                <w:sz w:val="20"/>
                <w:szCs w:val="20"/>
              </w:rPr>
              <w:t>实际完成率=（实际产出数/计划产出数）×100%。（得分=实际完成率*4分）</w:t>
            </w:r>
          </w:p>
          <w:p>
            <w:pPr>
              <w:widowControl/>
              <w:jc w:val="left"/>
              <w:rPr>
                <w:rFonts w:hint="eastAsia" w:ascii="Times New Roman" w:hAnsi="Times New Roman" w:eastAsia="宋体"/>
                <w:spacing w:val="-14"/>
                <w:kern w:val="0"/>
                <w:sz w:val="20"/>
                <w:szCs w:val="20"/>
                <w:lang w:eastAsia="zh-CN"/>
              </w:rPr>
            </w:pPr>
            <w:r>
              <w:rPr>
                <w:rFonts w:ascii="Times New Roman" w:hAnsi="Times New Roman"/>
                <w:spacing w:val="-14"/>
                <w:kern w:val="0"/>
                <w:sz w:val="20"/>
                <w:szCs w:val="20"/>
              </w:rPr>
              <w:t>实际产出数：一定时期（本年度或项目期）内项目实际产出的产品或提供的服务数量。</w:t>
            </w:r>
          </w:p>
          <w:p>
            <w:pPr>
              <w:widowControl/>
              <w:jc w:val="left"/>
              <w:rPr>
                <w:rFonts w:ascii="Times New Roman" w:hAnsi="Times New Roman"/>
                <w:kern w:val="0"/>
                <w:sz w:val="20"/>
                <w:szCs w:val="20"/>
              </w:rPr>
            </w:pPr>
            <w:r>
              <w:rPr>
                <w:rFonts w:ascii="Times New Roman" w:hAnsi="Times New Roman"/>
                <w:kern w:val="0"/>
                <w:sz w:val="20"/>
                <w:szCs w:val="20"/>
              </w:rPr>
              <w:t>计划产出数：项目绩效目标确定的在一定时期（本年度或项目期）内计划产出的产品或提供的服务数量。</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4</w:t>
            </w:r>
          </w:p>
        </w:tc>
        <w:tc>
          <w:tcPr>
            <w:tcW w:w="1538" w:type="dxa"/>
            <w:noWrap/>
            <w:vAlign w:val="center"/>
          </w:tcPr>
          <w:p>
            <w:pPr>
              <w:widowControl/>
              <w:jc w:val="left"/>
              <w:rPr>
                <w:rFonts w:ascii="Times New Roman" w:hAnsi="Times New Roman"/>
                <w:kern w:val="0"/>
                <w:sz w:val="18"/>
                <w:szCs w:val="18"/>
              </w:rPr>
            </w:pPr>
            <w:r>
              <w:rPr>
                <w:rFonts w:hint="eastAsia" w:ascii="宋体" w:hAnsi="宋体" w:eastAsia="宋体"/>
                <w:kern w:val="0"/>
                <w:sz w:val="20"/>
                <w:szCs w:val="20"/>
                <w:lang w:val="en-US" w:eastAsia="zh-CN"/>
              </w:rPr>
              <w:t>按照申报的项目绩效指标，全面超额完成。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完成及时率（6分）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项目实际提前完成时间与计划完成时间的比率，用以反映和考核项目产出时效目标的实现程度。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完成及时率=[（计划完成时间-实际完成时间）/计划完成时间]×100%。（1--4季度各得1.5分）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实际完成时间：项目实施单位完成该项目实际所耗用的时间。</w:t>
            </w:r>
          </w:p>
          <w:p>
            <w:pPr>
              <w:widowControl/>
              <w:jc w:val="left"/>
              <w:rPr>
                <w:rFonts w:ascii="Times New Roman" w:hAnsi="Times New Roman"/>
                <w:kern w:val="0"/>
                <w:sz w:val="20"/>
                <w:szCs w:val="20"/>
              </w:rPr>
            </w:pPr>
            <w:r>
              <w:rPr>
                <w:rFonts w:ascii="Times New Roman" w:hAnsi="Times New Roman"/>
                <w:kern w:val="0"/>
                <w:sz w:val="20"/>
                <w:szCs w:val="20"/>
              </w:rPr>
              <w:t>计划完成时间：按照项目实施计划或相关规定完成该项目所需的时间。</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6</w:t>
            </w:r>
          </w:p>
        </w:tc>
        <w:tc>
          <w:tcPr>
            <w:tcW w:w="1538" w:type="dxa"/>
            <w:noWrap/>
            <w:vAlign w:val="center"/>
          </w:tcPr>
          <w:p>
            <w:pPr>
              <w:widowControl/>
              <w:jc w:val="left"/>
              <w:rPr>
                <w:rFonts w:hint="default" w:ascii="Times New Roman" w:hAnsi="Times New Roman" w:eastAsia="宋体"/>
                <w:kern w:val="0"/>
                <w:sz w:val="18"/>
                <w:szCs w:val="18"/>
                <w:lang w:val="en-US" w:eastAsia="zh-CN"/>
              </w:rPr>
            </w:pPr>
            <w:r>
              <w:rPr>
                <w:rFonts w:ascii="Times New Roman" w:hAnsi="Times New Roman"/>
                <w:kern w:val="0"/>
                <w:sz w:val="20"/>
                <w:szCs w:val="20"/>
              </w:rPr>
              <w:t>完成及时率</w:t>
            </w:r>
            <w:r>
              <w:rPr>
                <w:rFonts w:hint="eastAsia" w:ascii="Times New Roman" w:hAnsi="Times New Roman"/>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质量达标率（5分）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项目完成的质量达标产出数与实际产出数的比率，用以反映和考核项目产出质量目标的实现程度。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质量达标率=（质量达标产出数/实际产出数）×100%。（得分=达标率*5分）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质量达标产出数：一定时期（本年度或项目期）内实际达到既定质量标准的产品或服务数量。</w:t>
            </w:r>
          </w:p>
          <w:p>
            <w:pPr>
              <w:widowControl/>
              <w:jc w:val="left"/>
              <w:rPr>
                <w:rFonts w:ascii="Times New Roman" w:hAnsi="Times New Roman"/>
                <w:kern w:val="0"/>
                <w:sz w:val="20"/>
                <w:szCs w:val="20"/>
              </w:rPr>
            </w:pPr>
            <w:r>
              <w:rPr>
                <w:rFonts w:ascii="Times New Roman" w:hAnsi="Times New Roman"/>
                <w:spacing w:val="-10"/>
                <w:kern w:val="0"/>
                <w:sz w:val="20"/>
                <w:szCs w:val="20"/>
              </w:rPr>
              <w:t>既定质量标准是指项目实施单位设立绩效目标时依据计划标准、行业标准、历史标准或其他标准而设定的绩效指标值。</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ascii="Times New Roman" w:hAnsi="Times New Roman"/>
                <w:kern w:val="0"/>
                <w:sz w:val="18"/>
                <w:szCs w:val="18"/>
              </w:rPr>
            </w:pPr>
            <w:r>
              <w:rPr>
                <w:rFonts w:ascii="宋体" w:hAnsi="宋体"/>
                <w:kern w:val="0"/>
                <w:sz w:val="20"/>
                <w:szCs w:val="20"/>
              </w:rPr>
              <w:t>质量达标率</w:t>
            </w:r>
            <w:r>
              <w:rPr>
                <w:rFonts w:hint="eastAsia" w:ascii="宋体" w:hAnsi="宋体"/>
                <w:kern w:val="0"/>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成本节约率（5分）</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完成项目计划工作目标的实际节约成本与计划成本的比率，用以反映和考核项目的成本节约程度。</w:t>
            </w:r>
          </w:p>
        </w:tc>
        <w:tc>
          <w:tcPr>
            <w:tcW w:w="3093" w:type="dxa"/>
            <w:shd w:val="clear" w:color="000000" w:fill="FFFFFF"/>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成本节约率=[（计划成本-实际成本）/计划成本]×100%。(节约的计5分,增加的按比例扣分)</w:t>
            </w:r>
          </w:p>
          <w:p>
            <w:pPr>
              <w:widowControl/>
              <w:jc w:val="left"/>
              <w:rPr>
                <w:rFonts w:hint="eastAsia" w:ascii="Times New Roman" w:hAnsi="Times New Roman" w:eastAsia="宋体"/>
                <w:spacing w:val="-10"/>
                <w:kern w:val="0"/>
                <w:sz w:val="20"/>
                <w:szCs w:val="20"/>
                <w:lang w:eastAsia="zh-CN"/>
              </w:rPr>
            </w:pPr>
            <w:r>
              <w:rPr>
                <w:rFonts w:ascii="Times New Roman" w:hAnsi="Times New Roman"/>
                <w:spacing w:val="-10"/>
                <w:kern w:val="0"/>
                <w:sz w:val="20"/>
                <w:szCs w:val="20"/>
              </w:rPr>
              <w:t>实际成本：项目实施单位如期、保质、保量完成既定工作目标实际所耗费的支出。</w:t>
            </w:r>
          </w:p>
          <w:p>
            <w:pPr>
              <w:widowControl/>
              <w:jc w:val="left"/>
              <w:rPr>
                <w:rFonts w:ascii="Times New Roman" w:hAnsi="Times New Roman"/>
                <w:kern w:val="0"/>
                <w:sz w:val="20"/>
                <w:szCs w:val="20"/>
              </w:rPr>
            </w:pPr>
            <w:r>
              <w:rPr>
                <w:rFonts w:ascii="Times New Roman" w:hAnsi="Times New Roman"/>
                <w:spacing w:val="-10"/>
                <w:kern w:val="0"/>
                <w:sz w:val="20"/>
                <w:szCs w:val="20"/>
              </w:rPr>
              <w:t>计划成本：项目实施单位为完成工作目标计划安排的支出，一般以项目预算为参考。</w:t>
            </w:r>
          </w:p>
        </w:tc>
        <w:tc>
          <w:tcPr>
            <w:tcW w:w="669" w:type="dxa"/>
            <w:noWrap/>
            <w:vAlign w:val="center"/>
          </w:tcPr>
          <w:p>
            <w:pPr>
              <w:widowControl/>
              <w:jc w:val="center"/>
              <w:rPr>
                <w:rFonts w:hint="eastAsia" w:ascii="Times New Roman" w:hAnsi="Times New Roman" w:eastAsia="宋体"/>
                <w:kern w:val="0"/>
                <w:sz w:val="24"/>
                <w:lang w:val="en-US" w:eastAsia="zh-CN"/>
              </w:rPr>
            </w:pPr>
            <w:r>
              <w:rPr>
                <w:rFonts w:hint="eastAsia" w:ascii="Times New Roman" w:hAnsi="Times New Roman"/>
                <w:kern w:val="0"/>
                <w:sz w:val="24"/>
                <w:lang w:val="en-US" w:eastAsia="zh-CN"/>
              </w:rPr>
              <w:t>5</w:t>
            </w:r>
          </w:p>
        </w:tc>
        <w:tc>
          <w:tcPr>
            <w:tcW w:w="1538" w:type="dxa"/>
            <w:noWrap/>
            <w:vAlign w:val="center"/>
          </w:tcPr>
          <w:p>
            <w:pPr>
              <w:widowControl/>
              <w:jc w:val="left"/>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财政定额补助。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restart"/>
            <w:shd w:val="clear" w:color="000000" w:fill="FFFFFF"/>
            <w:noWrap/>
            <w:textDirection w:val="tbRlV"/>
            <w:vAlign w:val="center"/>
          </w:tcPr>
          <w:p>
            <w:pPr>
              <w:widowControl/>
              <w:jc w:val="center"/>
              <w:rPr>
                <w:rFonts w:ascii="Times New Roman" w:hAnsi="Times New Roman"/>
                <w:kern w:val="0"/>
                <w:sz w:val="20"/>
                <w:szCs w:val="20"/>
              </w:rPr>
            </w:pPr>
            <w:r>
              <w:rPr>
                <w:rFonts w:ascii="Times New Roman" w:hAnsi="Times New Roman"/>
                <w:kern w:val="0"/>
                <w:sz w:val="20"/>
                <w:szCs w:val="20"/>
              </w:rPr>
              <w:t>效   果（30分）</w:t>
            </w:r>
          </w:p>
        </w:tc>
        <w:tc>
          <w:tcPr>
            <w:tcW w:w="661" w:type="dxa"/>
            <w:vMerge w:val="restart"/>
            <w:shd w:val="clear" w:color="000000" w:fill="FFFFFF"/>
            <w:noWrap w:val="0"/>
            <w:vAlign w:val="center"/>
          </w:tcPr>
          <w:p>
            <w:pPr>
              <w:widowControl/>
              <w:jc w:val="center"/>
              <w:rPr>
                <w:rFonts w:hint="eastAsia" w:ascii="Times New Roman" w:hAnsi="Times New Roman" w:eastAsia="宋体"/>
                <w:kern w:val="0"/>
                <w:sz w:val="20"/>
                <w:szCs w:val="20"/>
                <w:lang w:eastAsia="zh-CN"/>
              </w:rPr>
            </w:pPr>
            <w:r>
              <w:rPr>
                <w:rFonts w:ascii="Times New Roman" w:hAnsi="Times New Roman"/>
                <w:kern w:val="0"/>
                <w:sz w:val="20"/>
                <w:szCs w:val="20"/>
              </w:rPr>
              <w:t>项目</w:t>
            </w:r>
          </w:p>
          <w:p>
            <w:pPr>
              <w:widowControl/>
              <w:jc w:val="center"/>
              <w:rPr>
                <w:rFonts w:ascii="Times New Roman" w:hAnsi="Times New Roman"/>
                <w:kern w:val="0"/>
                <w:sz w:val="20"/>
                <w:szCs w:val="20"/>
              </w:rPr>
            </w:pPr>
            <w:r>
              <w:rPr>
                <w:rFonts w:ascii="Times New Roman" w:hAnsi="Times New Roman"/>
                <w:kern w:val="0"/>
                <w:sz w:val="20"/>
                <w:szCs w:val="20"/>
              </w:rPr>
              <w:t>效益（</w:t>
            </w:r>
            <w:r>
              <w:rPr>
                <w:rFonts w:hint="eastAsia" w:ascii="Times New Roman" w:hAnsi="Times New Roman"/>
                <w:kern w:val="0"/>
                <w:sz w:val="20"/>
                <w:szCs w:val="20"/>
                <w:lang w:val="en-US" w:eastAsia="zh-CN"/>
              </w:rPr>
              <w:t>20</w:t>
            </w:r>
            <w:r>
              <w:rPr>
                <w:rFonts w:ascii="Times New Roman" w:hAnsi="Times New Roman"/>
                <w:kern w:val="0"/>
                <w:sz w:val="20"/>
                <w:szCs w:val="20"/>
              </w:rPr>
              <w:t>分）</w:t>
            </w: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经济效益</w:t>
            </w:r>
          </w:p>
        </w:tc>
        <w:tc>
          <w:tcPr>
            <w:tcW w:w="1852"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项目实施对经济发展所带来的直接或间接影响情况。</w:t>
            </w:r>
          </w:p>
        </w:tc>
        <w:tc>
          <w:tcPr>
            <w:tcW w:w="3093" w:type="dxa"/>
            <w:vMerge w:val="restart"/>
            <w:shd w:val="clear" w:color="000000" w:fill="FFFFFF"/>
            <w:noWrap w:val="0"/>
            <w:vAlign w:val="center"/>
          </w:tcPr>
          <w:p>
            <w:pPr>
              <w:widowControl/>
              <w:jc w:val="left"/>
              <w:rPr>
                <w:rFonts w:ascii="Times New Roman" w:hAnsi="Times New Roman"/>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p>
        </w:tc>
        <w:tc>
          <w:tcPr>
            <w:tcW w:w="669" w:type="dxa"/>
            <w:noWrap/>
            <w:vAlign w:val="center"/>
          </w:tcPr>
          <w:p>
            <w:pPr>
              <w:widowControl/>
              <w:jc w:val="center"/>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10</w:t>
            </w:r>
          </w:p>
        </w:tc>
        <w:tc>
          <w:tcPr>
            <w:tcW w:w="1538" w:type="dxa"/>
            <w:noWrap/>
            <w:vAlign w:val="center"/>
          </w:tcPr>
          <w:p>
            <w:pPr>
              <w:widowControl/>
              <w:jc w:val="left"/>
              <w:rPr>
                <w:rFonts w:hint="default" w:ascii="Times New Roman" w:hAnsi="Times New Roman" w:eastAsia="宋体"/>
                <w:kern w:val="0"/>
                <w:sz w:val="18"/>
                <w:szCs w:val="18"/>
                <w:lang w:val="en-US" w:eastAsia="zh-CN"/>
              </w:rPr>
            </w:pPr>
            <w:r>
              <w:rPr>
                <w:rFonts w:hint="eastAsia" w:ascii="Times New Roman" w:hAnsi="Times New Roman" w:eastAsia="宋体" w:cs="Times New Roman"/>
                <w:color w:val="000000"/>
                <w:kern w:val="0"/>
                <w:sz w:val="18"/>
                <w:szCs w:val="18"/>
              </w:rPr>
              <w:t>聘用人员经费保障及时率</w:t>
            </w:r>
            <w:r>
              <w:rPr>
                <w:rFonts w:hint="eastAsia" w:ascii="Times New Roman" w:hAnsi="Times New Roman" w:eastAsia="宋体" w:cs="Times New Roman"/>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社会效益）</w:t>
            </w:r>
          </w:p>
        </w:tc>
        <w:tc>
          <w:tcPr>
            <w:tcW w:w="1852"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项目实施对社会发展所带来的直接或间接影响情况。</w:t>
            </w:r>
          </w:p>
        </w:tc>
        <w:tc>
          <w:tcPr>
            <w:tcW w:w="3093"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hint="eastAsia" w:ascii="Times New Roman" w:hAnsi="Times New Roman" w:eastAsia="宋体"/>
                <w:kern w:val="0"/>
                <w:sz w:val="24"/>
                <w:lang w:val="en-US" w:eastAsia="zh-CN"/>
              </w:rPr>
            </w:pPr>
          </w:p>
        </w:tc>
        <w:tc>
          <w:tcPr>
            <w:tcW w:w="1538" w:type="dxa"/>
            <w:noWrap/>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生态效益</w:t>
            </w:r>
          </w:p>
        </w:tc>
        <w:tc>
          <w:tcPr>
            <w:tcW w:w="1852" w:type="dxa"/>
            <w:shd w:val="clear" w:color="000000" w:fill="FFFFFF"/>
            <w:noWrap w:val="0"/>
            <w:vAlign w:val="center"/>
          </w:tcPr>
          <w:p>
            <w:pPr>
              <w:widowControl/>
              <w:jc w:val="left"/>
              <w:rPr>
                <w:rFonts w:ascii="Times New Roman" w:hAnsi="Times New Roman"/>
                <w:spacing w:val="-10"/>
                <w:kern w:val="0"/>
                <w:sz w:val="20"/>
                <w:szCs w:val="20"/>
              </w:rPr>
            </w:pPr>
            <w:r>
              <w:rPr>
                <w:rFonts w:ascii="Times New Roman" w:hAnsi="Times New Roman"/>
                <w:spacing w:val="-10"/>
                <w:kern w:val="0"/>
                <w:sz w:val="20"/>
                <w:szCs w:val="20"/>
              </w:rPr>
              <w:t>项目实施对生态环境所带来的直接或间接影响情况。</w:t>
            </w:r>
          </w:p>
        </w:tc>
        <w:tc>
          <w:tcPr>
            <w:tcW w:w="3093"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ascii="Times New Roman" w:hAnsi="Times New Roman"/>
                <w:kern w:val="0"/>
                <w:sz w:val="24"/>
              </w:rPr>
            </w:pPr>
          </w:p>
        </w:tc>
        <w:tc>
          <w:tcPr>
            <w:tcW w:w="1538" w:type="dxa"/>
            <w:noWrap/>
            <w:vAlign w:val="center"/>
          </w:tcPr>
          <w:p>
            <w:pPr>
              <w:widowControl/>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vMerge w:val="continue"/>
            <w:shd w:val="clear" w:color="auto" w:fill="auto"/>
            <w:noWrap w:val="0"/>
            <w:vAlign w:val="center"/>
          </w:tcPr>
          <w:p>
            <w:pPr>
              <w:widowControl/>
              <w:jc w:val="center"/>
              <w:rPr>
                <w:rFonts w:ascii="Times New Roman" w:hAnsi="Times New Roman"/>
                <w:kern w:val="0"/>
                <w:sz w:val="20"/>
                <w:szCs w:val="20"/>
              </w:rPr>
            </w:pPr>
          </w:p>
        </w:tc>
        <w:tc>
          <w:tcPr>
            <w:tcW w:w="804" w:type="dxa"/>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可持续影响</w:t>
            </w:r>
          </w:p>
        </w:tc>
        <w:tc>
          <w:tcPr>
            <w:tcW w:w="1852" w:type="dxa"/>
            <w:shd w:val="clear" w:color="000000" w:fill="FFFFFF"/>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项目后续运行及成效发挥的可持续影响情况。</w:t>
            </w:r>
          </w:p>
        </w:tc>
        <w:tc>
          <w:tcPr>
            <w:tcW w:w="3093" w:type="dxa"/>
            <w:vMerge w:val="continue"/>
            <w:noWrap w:val="0"/>
            <w:vAlign w:val="center"/>
          </w:tcPr>
          <w:p>
            <w:pPr>
              <w:widowControl/>
              <w:jc w:val="left"/>
              <w:rPr>
                <w:rFonts w:ascii="Times New Roman" w:hAnsi="Times New Roman"/>
                <w:kern w:val="0"/>
                <w:sz w:val="20"/>
                <w:szCs w:val="20"/>
              </w:rPr>
            </w:pPr>
          </w:p>
        </w:tc>
        <w:tc>
          <w:tcPr>
            <w:tcW w:w="669" w:type="dxa"/>
            <w:noWrap/>
            <w:vAlign w:val="center"/>
          </w:tcPr>
          <w:p>
            <w:pPr>
              <w:widowControl/>
              <w:jc w:val="center"/>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10</w:t>
            </w:r>
          </w:p>
        </w:tc>
        <w:tc>
          <w:tcPr>
            <w:tcW w:w="1538" w:type="dxa"/>
            <w:noWrap/>
            <w:vAlign w:val="center"/>
          </w:tcPr>
          <w:p>
            <w:pPr>
              <w:widowControl/>
              <w:jc w:val="left"/>
              <w:rPr>
                <w:rFonts w:hint="eastAsia" w:ascii="Times New Roman" w:hAnsi="Times New Roman" w:eastAsia="宋体"/>
                <w:kern w:val="0"/>
                <w:sz w:val="24"/>
                <w:lang w:eastAsia="zh-CN"/>
              </w:rPr>
            </w:pPr>
            <w:r>
              <w:rPr>
                <w:rFonts w:hint="eastAsia" w:ascii="Times New Roman" w:hAnsi="Times New Roman" w:eastAsia="宋体" w:cs="Times New Roman"/>
                <w:color w:val="000000"/>
                <w:kern w:val="0"/>
                <w:sz w:val="18"/>
                <w:szCs w:val="18"/>
              </w:rPr>
              <w:t>后勤保障持续加强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673" w:type="dxa"/>
            <w:vMerge w:val="continue"/>
            <w:shd w:val="clear" w:color="auto" w:fill="auto"/>
            <w:noWrap w:val="0"/>
            <w:vAlign w:val="center"/>
          </w:tcPr>
          <w:p>
            <w:pPr>
              <w:widowControl/>
              <w:jc w:val="center"/>
              <w:rPr>
                <w:rFonts w:ascii="Times New Roman" w:hAnsi="Times New Roman"/>
                <w:kern w:val="0"/>
                <w:sz w:val="20"/>
                <w:szCs w:val="20"/>
              </w:rPr>
            </w:pPr>
          </w:p>
        </w:tc>
        <w:tc>
          <w:tcPr>
            <w:tcW w:w="661" w:type="dxa"/>
            <w:shd w:val="clear" w:color="auto" w:fill="auto"/>
            <w:noWrap w:val="0"/>
            <w:vAlign w:val="center"/>
          </w:tcPr>
          <w:p>
            <w:pPr>
              <w:widowControl/>
              <w:jc w:val="left"/>
              <w:rPr>
                <w:rFonts w:hint="eastAsia" w:ascii="Times New Roman" w:hAnsi="Times New Roman" w:eastAsia="宋体"/>
                <w:kern w:val="0"/>
                <w:sz w:val="20"/>
                <w:szCs w:val="20"/>
                <w:highlight w:val="none"/>
                <w:lang w:val="en-US" w:eastAsia="zh-CN" w:bidi="ar-SA"/>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804" w:type="dxa"/>
            <w:shd w:val="clear" w:color="000000" w:fill="FFFFFF"/>
            <w:noWrap w:val="0"/>
            <w:vAlign w:val="center"/>
          </w:tcPr>
          <w:p>
            <w:pPr>
              <w:widowControl/>
              <w:jc w:val="left"/>
              <w:rPr>
                <w:rFonts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1852" w:type="dxa"/>
            <w:shd w:val="clear" w:color="000000" w:fill="FFFFFF"/>
            <w:noWrap w:val="0"/>
            <w:vAlign w:val="center"/>
          </w:tcPr>
          <w:p>
            <w:pPr>
              <w:widowControl/>
              <w:jc w:val="left"/>
              <w:rPr>
                <w:rFonts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3093" w:type="dxa"/>
            <w:shd w:val="clear" w:color="000000" w:fill="FFFFFF"/>
            <w:noWrap w:val="0"/>
            <w:vAlign w:val="center"/>
          </w:tcPr>
          <w:p>
            <w:pPr>
              <w:widowControl/>
              <w:jc w:val="left"/>
              <w:rPr>
                <w:rFonts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669" w:type="dxa"/>
            <w:noWrap/>
            <w:vAlign w:val="center"/>
          </w:tcPr>
          <w:p>
            <w:pPr>
              <w:widowControl/>
              <w:jc w:val="center"/>
              <w:rPr>
                <w:rFonts w:hint="default" w:ascii="Times New Roman" w:hAnsi="Times New Roman"/>
                <w:kern w:val="0"/>
                <w:sz w:val="24"/>
                <w:lang w:val="en-US" w:eastAsia="zh-CN"/>
              </w:rPr>
            </w:pPr>
            <w:r>
              <w:rPr>
                <w:rFonts w:hint="eastAsia" w:ascii="Times New Roman" w:hAnsi="Times New Roman"/>
                <w:kern w:val="0"/>
                <w:sz w:val="24"/>
                <w:lang w:val="en-US" w:eastAsia="zh-CN"/>
              </w:rPr>
              <w:t>10</w:t>
            </w:r>
          </w:p>
        </w:tc>
        <w:tc>
          <w:tcPr>
            <w:tcW w:w="1538" w:type="dxa"/>
            <w:noWrap/>
            <w:vAlign w:val="center"/>
          </w:tcPr>
          <w:p>
            <w:pPr>
              <w:widowControl/>
              <w:jc w:val="left"/>
              <w:rPr>
                <w:rFonts w:hint="eastAsia" w:ascii="宋体" w:hAnsi="宋体" w:eastAsia="宋体" w:cs="Times New Roman"/>
                <w:spacing w:val="-10"/>
                <w:kern w:val="0"/>
                <w:sz w:val="20"/>
                <w:szCs w:val="20"/>
                <w:lang w:val="en-US" w:eastAsia="zh-CN"/>
              </w:rPr>
            </w:pPr>
            <w:r>
              <w:rPr>
                <w:rFonts w:hint="eastAsia" w:ascii="Times New Roman" w:hAnsi="Times New Roman" w:eastAsia="宋体" w:cs="Times New Roman"/>
                <w:kern w:val="0"/>
                <w:sz w:val="20"/>
                <w:szCs w:val="20"/>
                <w:highlight w:val="none"/>
                <w:lang w:val="en-US" w:eastAsia="zh-CN"/>
              </w:rPr>
              <w:t>由于人员、经费保障到位，单位及职工满意度100%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83" w:type="dxa"/>
            <w:gridSpan w:val="5"/>
            <w:shd w:val="clear" w:color="000000" w:fill="FFFFFF"/>
            <w:noWrap w:val="0"/>
            <w:vAlign w:val="center"/>
          </w:tcPr>
          <w:p>
            <w:pPr>
              <w:widowControl/>
              <w:jc w:val="center"/>
              <w:rPr>
                <w:rFonts w:ascii="Times New Roman" w:hAnsi="Times New Roman"/>
                <w:kern w:val="0"/>
                <w:sz w:val="20"/>
                <w:szCs w:val="20"/>
              </w:rPr>
            </w:pPr>
            <w:r>
              <w:rPr>
                <w:rFonts w:ascii="Times New Roman" w:hAnsi="Times New Roman"/>
                <w:kern w:val="0"/>
                <w:sz w:val="20"/>
                <w:szCs w:val="20"/>
              </w:rPr>
              <w:t>合计</w:t>
            </w:r>
          </w:p>
        </w:tc>
        <w:tc>
          <w:tcPr>
            <w:tcW w:w="669" w:type="dxa"/>
            <w:noWrap/>
            <w:vAlign w:val="center"/>
          </w:tcPr>
          <w:p>
            <w:pPr>
              <w:widowControl/>
              <w:jc w:val="center"/>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100</w:t>
            </w:r>
          </w:p>
        </w:tc>
        <w:tc>
          <w:tcPr>
            <w:tcW w:w="1538" w:type="dxa"/>
            <w:noWrap/>
            <w:vAlign w:val="center"/>
          </w:tcPr>
          <w:p>
            <w:pPr>
              <w:widowControl/>
              <w:jc w:val="center"/>
              <w:rPr>
                <w:rFonts w:ascii="Times New Roman" w:hAnsi="Times New Roman"/>
                <w:kern w:val="0"/>
                <w:sz w:val="24"/>
              </w:rPr>
            </w:pPr>
          </w:p>
        </w:tc>
      </w:tr>
    </w:tbl>
    <w:p>
      <w:pPr>
        <w:spacing w:line="620" w:lineRule="exact"/>
        <w:jc w:val="both"/>
        <w:rPr>
          <w:rFonts w:hint="eastAsia" w:ascii="Times New Roman" w:hAnsi="Times New Roman" w:eastAsia="方正小标宋简体"/>
          <w:color w:val="000000"/>
          <w:spacing w:val="-12"/>
          <w:kern w:val="0"/>
          <w:sz w:val="40"/>
          <w:szCs w:val="40"/>
        </w:rPr>
      </w:pPr>
    </w:p>
    <w:p>
      <w:pPr>
        <w:rPr>
          <w:rFonts w:hint="eastAsia" w:ascii="Times New Roman" w:hAnsi="Times New Roman" w:eastAsia="方正小标宋简体"/>
          <w:color w:val="000000"/>
          <w:spacing w:val="-12"/>
          <w:kern w:val="0"/>
          <w:sz w:val="40"/>
          <w:szCs w:val="40"/>
        </w:rPr>
      </w:pPr>
      <w:r>
        <w:rPr>
          <w:rFonts w:hint="eastAsia" w:ascii="Times New Roman" w:hAnsi="Times New Roman" w:eastAsia="方正小标宋简体"/>
          <w:color w:val="000000"/>
          <w:spacing w:val="-12"/>
          <w:kern w:val="0"/>
          <w:sz w:val="40"/>
          <w:szCs w:val="40"/>
        </w:rPr>
        <w:br w:type="page"/>
      </w:r>
    </w:p>
    <w:p>
      <w:pPr>
        <w:spacing w:line="620" w:lineRule="exact"/>
        <w:jc w:val="center"/>
        <w:rPr>
          <w:rFonts w:hint="eastAsia" w:ascii="黑体" w:hAnsi="黑体" w:eastAsia="黑体" w:cs="黑体"/>
          <w:color w:val="000000"/>
          <w:spacing w:val="-12"/>
          <w:kern w:val="0"/>
          <w:sz w:val="40"/>
          <w:szCs w:val="40"/>
        </w:rPr>
      </w:pPr>
      <w:r>
        <w:rPr>
          <w:rFonts w:hint="eastAsia" w:ascii="黑体" w:hAnsi="黑体" w:eastAsia="黑体" w:cs="黑体"/>
          <w:color w:val="000000"/>
          <w:spacing w:val="-12"/>
          <w:kern w:val="0"/>
          <w:sz w:val="40"/>
          <w:szCs w:val="40"/>
        </w:rPr>
        <w:t>安岳县202</w:t>
      </w:r>
      <w:r>
        <w:rPr>
          <w:rFonts w:hint="eastAsia" w:ascii="黑体" w:hAnsi="黑体" w:eastAsia="黑体" w:cs="黑体"/>
          <w:color w:val="000000"/>
          <w:spacing w:val="-12"/>
          <w:kern w:val="0"/>
          <w:sz w:val="40"/>
          <w:szCs w:val="40"/>
          <w:lang w:val="en-US" w:eastAsia="zh-CN"/>
        </w:rPr>
        <w:t>3</w:t>
      </w:r>
      <w:r>
        <w:rPr>
          <w:rFonts w:hint="eastAsia" w:ascii="黑体" w:hAnsi="黑体" w:eastAsia="黑体" w:cs="黑体"/>
          <w:color w:val="000000"/>
          <w:spacing w:val="-12"/>
          <w:kern w:val="0"/>
          <w:sz w:val="40"/>
          <w:szCs w:val="40"/>
        </w:rPr>
        <w:t>年度项目支出绩效目标完成情况表</w:t>
      </w:r>
    </w:p>
    <w:p>
      <w:pPr>
        <w:pStyle w:val="2"/>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631"/>
        <w:gridCol w:w="1379"/>
        <w:gridCol w:w="121"/>
        <w:gridCol w:w="1277"/>
        <w:gridCol w:w="1414"/>
        <w:gridCol w:w="14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90"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名称</w:t>
            </w:r>
          </w:p>
        </w:tc>
        <w:tc>
          <w:tcPr>
            <w:tcW w:w="8062" w:type="dxa"/>
            <w:gridSpan w:val="9"/>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临时聘用人员经费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项目</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类型</w:t>
            </w: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产业发展</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民生</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保障</w:t>
            </w:r>
          </w:p>
        </w:tc>
        <w:tc>
          <w:tcPr>
            <w:tcW w:w="2777"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基础设施</w:t>
            </w:r>
          </w:p>
        </w:tc>
        <w:tc>
          <w:tcPr>
            <w:tcW w:w="3454"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sym w:font="Wingdings 2" w:char="0052"/>
            </w:r>
          </w:p>
        </w:tc>
        <w:tc>
          <w:tcPr>
            <w:tcW w:w="2777"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p>
        </w:tc>
        <w:tc>
          <w:tcPr>
            <w:tcW w:w="3454"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90" w:type="dxa"/>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部门（单位）名称</w:t>
            </w:r>
          </w:p>
        </w:tc>
        <w:tc>
          <w:tcPr>
            <w:tcW w:w="4608" w:type="dxa"/>
            <w:gridSpan w:val="6"/>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中国共产党安岳县纪律检查委员会</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预算单位编码</w:t>
            </w:r>
          </w:p>
        </w:tc>
        <w:tc>
          <w:tcPr>
            <w:tcW w:w="1896"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预算执行情况</w:t>
            </w: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预算额(百元)</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执行额(百元)</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当年结转结余额(百元)</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结转结余率%</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合   计</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1600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1600</w:t>
            </w:r>
          </w:p>
        </w:tc>
        <w:tc>
          <w:tcPr>
            <w:tcW w:w="1277"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财政拨款</w:t>
            </w:r>
          </w:p>
        </w:tc>
        <w:tc>
          <w:tcPr>
            <w:tcW w:w="631"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1600</w:t>
            </w:r>
          </w:p>
        </w:tc>
        <w:tc>
          <w:tcPr>
            <w:tcW w:w="1277"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其他资金</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277"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财政拨款结构</w:t>
            </w: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tc>
        <w:tc>
          <w:tcPr>
            <w:tcW w:w="631"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合计</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一般公共预算安排</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政府性基金预算安排</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国有资本经营预算安排</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预算额</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(百元)</w:t>
            </w:r>
          </w:p>
        </w:tc>
        <w:tc>
          <w:tcPr>
            <w:tcW w:w="631"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执行额</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(百元)</w:t>
            </w:r>
          </w:p>
        </w:tc>
        <w:tc>
          <w:tcPr>
            <w:tcW w:w="631"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1600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当年结转结余额(百元)</w:t>
            </w:r>
          </w:p>
        </w:tc>
        <w:tc>
          <w:tcPr>
            <w:tcW w:w="631"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结转结余率%</w:t>
            </w:r>
          </w:p>
        </w:tc>
        <w:tc>
          <w:tcPr>
            <w:tcW w:w="631"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20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结转结余变动率%</w:t>
            </w:r>
          </w:p>
        </w:tc>
        <w:tc>
          <w:tcPr>
            <w:tcW w:w="631"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50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0</w:t>
            </w:r>
          </w:p>
        </w:tc>
        <w:tc>
          <w:tcPr>
            <w:tcW w:w="127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55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c>
          <w:tcPr>
            <w:tcW w:w="1896"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年度总体目标</w:t>
            </w:r>
          </w:p>
        </w:tc>
        <w:tc>
          <w:tcPr>
            <w:tcW w:w="1831"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预算总体目标</w:t>
            </w:r>
          </w:p>
        </w:tc>
        <w:tc>
          <w:tcPr>
            <w:tcW w:w="2777"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预算总体目标执行结果</w:t>
            </w:r>
          </w:p>
        </w:tc>
        <w:tc>
          <w:tcPr>
            <w:tcW w:w="3454"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1831"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宋体" w:hAnsi="宋体" w:eastAsia="宋体" w:cs="宋体"/>
                <w:kern w:val="0"/>
                <w:sz w:val="19"/>
                <w:szCs w:val="19"/>
                <w:lang w:eastAsia="zh-CN" w:bidi="ar"/>
              </w:rPr>
              <w:t>为委机关正常运转</w:t>
            </w:r>
            <w:r>
              <w:rPr>
                <w:rFonts w:hint="eastAsia" w:ascii="宋体" w:hAnsi="宋体" w:eastAsia="宋体" w:cs="宋体"/>
                <w:kern w:val="0"/>
                <w:sz w:val="19"/>
                <w:szCs w:val="19"/>
                <w:lang w:bidi="ar"/>
              </w:rPr>
              <w:t>提供后勤保障</w:t>
            </w:r>
            <w:r>
              <w:rPr>
                <w:rFonts w:hint="eastAsia" w:ascii="宋体" w:hAnsi="宋体" w:eastAsia="宋体" w:cs="宋体"/>
                <w:kern w:val="0"/>
                <w:sz w:val="19"/>
                <w:szCs w:val="19"/>
                <w:lang w:eastAsia="zh-CN" w:bidi="ar"/>
              </w:rPr>
              <w:t>。</w:t>
            </w:r>
          </w:p>
        </w:tc>
        <w:tc>
          <w:tcPr>
            <w:tcW w:w="2777"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通过临时聘用人员经费保障，委机关后勤保障得到持续加强</w:t>
            </w:r>
            <w:r>
              <w:rPr>
                <w:rFonts w:hint="eastAsia" w:ascii="Times New Roman" w:hAnsi="Times New Roman" w:eastAsia="宋体" w:cs="Times New Roman"/>
                <w:color w:val="000000"/>
                <w:kern w:val="0"/>
                <w:sz w:val="18"/>
                <w:szCs w:val="18"/>
                <w:lang w:eastAsia="zh-CN"/>
              </w:rPr>
              <w:t>。</w:t>
            </w:r>
          </w:p>
        </w:tc>
        <w:tc>
          <w:tcPr>
            <w:tcW w:w="3454" w:type="dxa"/>
            <w:gridSpan w:val="3"/>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90" w:type="dxa"/>
            <w:vMerge w:val="restart"/>
            <w:noWrap/>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年度绩</w:t>
            </w:r>
          </w:p>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效指标</w:t>
            </w:r>
          </w:p>
        </w:tc>
        <w:tc>
          <w:tcPr>
            <w:tcW w:w="847"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一级</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二级指标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三级</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预算指标值(包含数字及文字描述)</w:t>
            </w:r>
          </w:p>
        </w:tc>
        <w:tc>
          <w:tcPr>
            <w:tcW w:w="1414"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预算指标值执行结果(包含数字及文字描述)</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restart"/>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完成</w:t>
            </w: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数量</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1379" w:type="dxa"/>
            <w:noWrap/>
            <w:vAlign w:val="center"/>
          </w:tcPr>
          <w:p>
            <w:pPr>
              <w:widowControl/>
              <w:jc w:val="center"/>
              <w:rPr>
                <w:rFonts w:hint="default" w:ascii="Times New Roman" w:hAnsi="Times New Roman" w:eastAsia="宋体" w:cs="Times New Roman"/>
                <w:color w:val="000000"/>
                <w:kern w:val="0"/>
                <w:sz w:val="18"/>
                <w:szCs w:val="18"/>
                <w:lang w:val="en-US"/>
              </w:rPr>
            </w:pPr>
            <w:r>
              <w:rPr>
                <w:rFonts w:hint="eastAsia" w:ascii="Times New Roman" w:hAnsi="Times New Roman" w:eastAsia="宋体" w:cs="Times New Roman"/>
                <w:color w:val="000000"/>
                <w:kern w:val="0"/>
                <w:sz w:val="18"/>
                <w:szCs w:val="18"/>
                <w:lang w:val="en-US" w:eastAsia="zh-CN"/>
              </w:rPr>
              <w:t>聘用人员个数</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=5</w:t>
            </w:r>
          </w:p>
        </w:tc>
        <w:tc>
          <w:tcPr>
            <w:tcW w:w="1414"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5</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数量</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1379"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聘用人员经费补助标准</w:t>
            </w:r>
          </w:p>
        </w:tc>
        <w:tc>
          <w:tcPr>
            <w:tcW w:w="1398" w:type="dxa"/>
            <w:gridSpan w:val="2"/>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=3.2万元/人/年</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3.2</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0"/>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质量</w:t>
            </w:r>
          </w:p>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驾驶技术达标率%</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＝100</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100</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时效</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指标</w:t>
            </w:r>
          </w:p>
        </w:tc>
        <w:tc>
          <w:tcPr>
            <w:tcW w:w="1379" w:type="dxa"/>
            <w:noWrap/>
            <w:vAlign w:val="center"/>
          </w:tcPr>
          <w:p>
            <w:pPr>
              <w:widowControl/>
              <w:jc w:val="center"/>
              <w:rPr>
                <w:rFonts w:hint="default" w:ascii="Times New Roman" w:hAnsi="Times New Roman" w:eastAsia="宋体" w:cs="Times New Roman"/>
                <w:color w:val="000000"/>
                <w:kern w:val="0"/>
                <w:sz w:val="18"/>
                <w:szCs w:val="18"/>
                <w:lang w:val="en-US"/>
              </w:rPr>
            </w:pPr>
            <w:r>
              <w:rPr>
                <w:rFonts w:hint="eastAsia" w:ascii="Times New Roman" w:hAnsi="Times New Roman" w:eastAsia="宋体" w:cs="Times New Roman"/>
                <w:color w:val="000000"/>
                <w:kern w:val="0"/>
                <w:sz w:val="18"/>
                <w:szCs w:val="18"/>
                <w:lang w:val="en-US" w:eastAsia="zh-CN"/>
              </w:rPr>
              <w:t>完成时间</w:t>
            </w:r>
          </w:p>
        </w:tc>
        <w:tc>
          <w:tcPr>
            <w:tcW w:w="1398" w:type="dxa"/>
            <w:gridSpan w:val="2"/>
            <w:noWrap/>
            <w:vAlign w:val="center"/>
          </w:tcPr>
          <w:p>
            <w:pPr>
              <w:widowControl/>
              <w:jc w:val="center"/>
              <w:rPr>
                <w:rFonts w:hint="default" w:ascii="Times New Roman" w:hAnsi="Times New Roman" w:eastAsia="宋体" w:cs="Times New Roman"/>
                <w:color w:val="000000"/>
                <w:kern w:val="0"/>
                <w:sz w:val="18"/>
                <w:szCs w:val="18"/>
                <w:lang w:val="en-US"/>
              </w:rPr>
            </w:pPr>
            <w:r>
              <w:rPr>
                <w:rFonts w:hint="eastAsia" w:ascii="Times New Roman" w:hAnsi="Times New Roman" w:eastAsia="宋体" w:cs="Times New Roman"/>
                <w:color w:val="000000"/>
                <w:kern w:val="0"/>
                <w:sz w:val="18"/>
                <w:szCs w:val="18"/>
                <w:lang w:val="en-US" w:eastAsia="zh-CN"/>
              </w:rPr>
              <w:t>＝1年</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1年</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restart"/>
            <w:noWrap w:val="0"/>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年度绩效指标</w:t>
            </w:r>
          </w:p>
        </w:tc>
        <w:tc>
          <w:tcPr>
            <w:tcW w:w="847" w:type="dxa"/>
            <w:vMerge w:val="restart"/>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项目</w:t>
            </w:r>
          </w:p>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效益</w:t>
            </w: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经济效益指标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聘用人员经费保障及时率</w:t>
            </w:r>
          </w:p>
        </w:tc>
        <w:tc>
          <w:tcPr>
            <w:tcW w:w="1398" w:type="dxa"/>
            <w:gridSpan w:val="2"/>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=100%</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100%</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可持续影响指标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后勤保障持续加强</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好</w:t>
            </w:r>
          </w:p>
        </w:tc>
        <w:tc>
          <w:tcPr>
            <w:tcW w:w="1414" w:type="dxa"/>
            <w:noWrap/>
            <w:vAlign w:val="center"/>
          </w:tcPr>
          <w:p>
            <w:pPr>
              <w:widowControl/>
              <w:jc w:val="center"/>
              <w:rPr>
                <w:rFonts w:hint="eastAsia"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好</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Times New Roman" w:hAnsi="Times New Roman"/>
                <w:color w:val="000000"/>
                <w:kern w:val="0"/>
                <w:sz w:val="18"/>
                <w:szCs w:val="18"/>
              </w:rPr>
            </w:pPr>
          </w:p>
        </w:tc>
        <w:tc>
          <w:tcPr>
            <w:tcW w:w="847" w:type="dxa"/>
            <w:vMerge w:val="continue"/>
            <w:noWrap w:val="0"/>
            <w:vAlign w:val="center"/>
          </w:tcPr>
          <w:p>
            <w:pPr>
              <w:widowControl/>
              <w:jc w:val="center"/>
              <w:rPr>
                <w:rFonts w:hint="eastAsia" w:ascii="Times New Roman" w:hAnsi="Times New Roman" w:eastAsia="宋体" w:cs="Times New Roman"/>
                <w:color w:val="000000"/>
                <w:kern w:val="0"/>
                <w:sz w:val="18"/>
                <w:szCs w:val="18"/>
              </w:rPr>
            </w:pPr>
          </w:p>
        </w:tc>
        <w:tc>
          <w:tcPr>
            <w:tcW w:w="984" w:type="dxa"/>
            <w:gridSpan w:val="2"/>
            <w:noWrap w:val="0"/>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服务对象</w:t>
            </w:r>
            <w:r>
              <w:rPr>
                <w:rFonts w:hint="eastAsia" w:ascii="Times New Roman" w:hAnsi="Times New Roman" w:eastAsia="宋体" w:cs="Times New Roman"/>
                <w:color w:val="000000"/>
                <w:kern w:val="0"/>
                <w:sz w:val="18"/>
                <w:szCs w:val="18"/>
              </w:rPr>
              <w:t>满意度指标</w:t>
            </w:r>
          </w:p>
        </w:tc>
        <w:tc>
          <w:tcPr>
            <w:tcW w:w="1379" w:type="dxa"/>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单位及职工满意度%</w:t>
            </w:r>
          </w:p>
        </w:tc>
        <w:tc>
          <w:tcPr>
            <w:tcW w:w="1398"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w:t>
            </w:r>
            <w:r>
              <w:rPr>
                <w:rFonts w:hint="eastAsia" w:ascii="Times New Roman" w:hAnsi="Times New Roman" w:eastAsia="宋体" w:cs="Times New Roman"/>
                <w:color w:val="000000"/>
                <w:kern w:val="0"/>
                <w:sz w:val="18"/>
                <w:szCs w:val="18"/>
                <w:lang w:val="en-US" w:eastAsia="zh-CN"/>
              </w:rPr>
              <w:t>90</w:t>
            </w:r>
          </w:p>
        </w:tc>
        <w:tc>
          <w:tcPr>
            <w:tcW w:w="1414" w:type="dxa"/>
            <w:noWrap/>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eastAsia" w:ascii="Times New Roman" w:hAnsi="Times New Roman" w:eastAsia="宋体" w:cs="Times New Roman"/>
                <w:color w:val="000000"/>
                <w:kern w:val="0"/>
                <w:sz w:val="18"/>
                <w:szCs w:val="18"/>
                <w:lang w:val="en-US" w:eastAsia="zh-CN"/>
              </w:rPr>
              <w:t>100</w:t>
            </w:r>
          </w:p>
        </w:tc>
        <w:tc>
          <w:tcPr>
            <w:tcW w:w="2040" w:type="dxa"/>
            <w:gridSpan w:val="2"/>
            <w:noWrap/>
            <w:vAlign w:val="center"/>
          </w:tcPr>
          <w:p>
            <w:pPr>
              <w:widowControl/>
              <w:jc w:val="center"/>
              <w:rPr>
                <w:rFonts w:hint="eastAsia"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p>
    <w:p>
      <w:pPr>
        <w:pStyle w:val="6"/>
        <w:rPr>
          <w:rFonts w:hint="eastAsia"/>
          <w:lang w:val="en-US" w:eastAsia="zh-CN"/>
        </w:rPr>
      </w:pPr>
    </w:p>
    <w:p>
      <w:pPr>
        <w:rPr>
          <w:rFonts w:hint="eastAsia" w:ascii="黑体" w:hAnsi="黑体" w:eastAsia="黑体"/>
        </w:rPr>
      </w:pPr>
      <w:r>
        <w:rPr>
          <w:rFonts w:hint="eastAsia" w:ascii="黑体" w:hAnsi="黑体" w:eastAsia="黑体"/>
        </w:rPr>
        <w:br w:type="page"/>
      </w:r>
    </w:p>
    <w:p>
      <w:pPr>
        <w:pStyle w:val="3"/>
        <w:bidi w:val="0"/>
        <w:rPr>
          <w:rFonts w:hint="eastAsia"/>
        </w:rPr>
      </w:pPr>
      <w:bookmarkStart w:id="70" w:name="_Toc145"/>
      <w:r>
        <w:rPr>
          <w:rFonts w:hint="eastAsia"/>
        </w:rPr>
        <w:t>第五部分 附表</w:t>
      </w:r>
      <w:bookmarkEnd w:id="70"/>
    </w:p>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1" w:name="_Toc4790"/>
      <w:r>
        <w:rPr>
          <w:rFonts w:hint="eastAsia" w:ascii="仿宋" w:hAnsi="仿宋" w:eastAsia="仿宋"/>
          <w:sz w:val="32"/>
          <w:szCs w:val="32"/>
        </w:rPr>
        <w:t>一、收入支出决算总表</w:t>
      </w:r>
      <w:bookmarkEnd w:id="71"/>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2" w:name="_Toc18120"/>
      <w:r>
        <w:rPr>
          <w:rFonts w:hint="eastAsia" w:ascii="仿宋" w:hAnsi="仿宋" w:eastAsia="仿宋"/>
          <w:sz w:val="32"/>
          <w:szCs w:val="32"/>
        </w:rPr>
        <w:t>二、收入决算表</w:t>
      </w:r>
      <w:bookmarkEnd w:id="72"/>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3" w:name="_Toc24767"/>
      <w:r>
        <w:rPr>
          <w:rFonts w:hint="eastAsia" w:ascii="仿宋" w:hAnsi="仿宋" w:eastAsia="仿宋"/>
          <w:sz w:val="32"/>
          <w:szCs w:val="32"/>
        </w:rPr>
        <w:t>三、支出决算表</w:t>
      </w:r>
      <w:bookmarkEnd w:id="73"/>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4" w:name="_Toc20296"/>
      <w:r>
        <w:rPr>
          <w:rFonts w:hint="eastAsia" w:ascii="仿宋" w:hAnsi="仿宋" w:eastAsia="仿宋"/>
          <w:sz w:val="32"/>
          <w:szCs w:val="32"/>
        </w:rPr>
        <w:t>四、财政拨款收入支出决算总表</w:t>
      </w:r>
      <w:bookmarkEnd w:id="74"/>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5" w:name="_Toc29072"/>
      <w:r>
        <w:rPr>
          <w:rFonts w:hint="eastAsia" w:ascii="仿宋" w:hAnsi="仿宋" w:eastAsia="仿宋"/>
          <w:sz w:val="32"/>
          <w:szCs w:val="32"/>
        </w:rPr>
        <w:t>五、财政拨款支出决算明细表</w:t>
      </w:r>
      <w:bookmarkEnd w:id="75"/>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6" w:name="_Toc6016"/>
      <w:r>
        <w:rPr>
          <w:rFonts w:hint="eastAsia" w:ascii="仿宋" w:hAnsi="仿宋" w:eastAsia="仿宋"/>
          <w:sz w:val="32"/>
          <w:szCs w:val="32"/>
        </w:rPr>
        <w:t>六、一般公共预算财政拨款支出决算表</w:t>
      </w:r>
      <w:bookmarkEnd w:id="76"/>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7" w:name="_Toc15370"/>
      <w:r>
        <w:rPr>
          <w:rFonts w:hint="eastAsia" w:ascii="仿宋" w:hAnsi="仿宋" w:eastAsia="仿宋"/>
          <w:sz w:val="32"/>
          <w:szCs w:val="32"/>
        </w:rPr>
        <w:t>七、一般公共预算财政拨款支出决算明细表</w:t>
      </w:r>
      <w:bookmarkEnd w:id="77"/>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8" w:name="_Toc5455"/>
      <w:r>
        <w:rPr>
          <w:rFonts w:hint="eastAsia" w:ascii="仿宋" w:hAnsi="仿宋" w:eastAsia="仿宋"/>
          <w:sz w:val="32"/>
          <w:szCs w:val="32"/>
        </w:rPr>
        <w:t>八、一般公共预算财政拨款基本支出决算表</w:t>
      </w:r>
      <w:bookmarkEnd w:id="78"/>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79" w:name="_Toc22279"/>
      <w:r>
        <w:rPr>
          <w:rFonts w:hint="eastAsia" w:ascii="仿宋" w:hAnsi="仿宋" w:eastAsia="仿宋"/>
          <w:sz w:val="32"/>
          <w:szCs w:val="32"/>
        </w:rPr>
        <w:t>九、一般公共预算财政拨款项目支出决算表</w:t>
      </w:r>
      <w:bookmarkEnd w:id="79"/>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0" w:name="_Toc696"/>
      <w:r>
        <w:rPr>
          <w:rFonts w:hint="eastAsia" w:ascii="仿宋" w:hAnsi="仿宋" w:eastAsia="仿宋"/>
          <w:sz w:val="32"/>
          <w:szCs w:val="32"/>
        </w:rPr>
        <w:t>十、政府性基金预算财政拨款收入支出决算表</w:t>
      </w:r>
      <w:bookmarkEnd w:id="80"/>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1" w:name="_Toc24778"/>
      <w:r>
        <w:rPr>
          <w:rFonts w:hint="eastAsia" w:ascii="仿宋" w:hAnsi="仿宋" w:eastAsia="仿宋"/>
          <w:sz w:val="32"/>
          <w:szCs w:val="32"/>
        </w:rPr>
        <w:t>十一、国有资本经营预算财政拨款收入支出决算表</w:t>
      </w:r>
      <w:bookmarkEnd w:id="81"/>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2" w:name="_Toc18453"/>
      <w:r>
        <w:rPr>
          <w:rFonts w:hint="eastAsia" w:ascii="仿宋" w:hAnsi="仿宋" w:eastAsia="仿宋"/>
          <w:sz w:val="32"/>
          <w:szCs w:val="32"/>
        </w:rPr>
        <w:t>十二、国有资本经营预算财政拨款支出决算表</w:t>
      </w:r>
      <w:bookmarkEnd w:id="82"/>
    </w:p>
    <w:p>
      <w:pPr>
        <w:keepNext w:val="0"/>
        <w:keepLines w:val="0"/>
        <w:pageBreakBefore w:val="0"/>
        <w:widowControl w:val="0"/>
        <w:kinsoku/>
        <w:wordWrap/>
        <w:overflowPunct/>
        <w:topLinePunct w:val="0"/>
        <w:autoSpaceDE/>
        <w:autoSpaceDN/>
        <w:bidi w:val="0"/>
        <w:adjustRightInd/>
        <w:snapToGrid/>
        <w:textAlignment w:val="auto"/>
        <w:outlineLvl w:val="1"/>
        <w:rPr>
          <w:rFonts w:ascii="仿宋" w:hAnsi="仿宋" w:eastAsia="仿宋"/>
          <w:sz w:val="32"/>
          <w:szCs w:val="32"/>
        </w:rPr>
      </w:pPr>
      <w:bookmarkStart w:id="83" w:name="_Toc24285"/>
      <w:r>
        <w:rPr>
          <w:rFonts w:hint="eastAsia" w:ascii="仿宋" w:hAnsi="仿宋" w:eastAsia="仿宋"/>
          <w:sz w:val="32"/>
          <w:szCs w:val="32"/>
        </w:rPr>
        <w:t>十三、财政拨款“三公”经费支出决算表</w:t>
      </w:r>
      <w:bookmarkEnd w:id="83"/>
    </w:p>
    <w:sectPr>
      <w:footerReference r:id="rId5" w:type="first"/>
      <w:footerReference r:id="rId4" w:type="default"/>
      <w:pgSz w:w="11906" w:h="16838"/>
      <w:pgMar w:top="1440" w:right="1800" w:bottom="1440" w:left="1746"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C82B2"/>
    <w:multiLevelType w:val="singleLevel"/>
    <w:tmpl w:val="AC7C82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165240"/>
    <w:rsid w:val="036F8141"/>
    <w:rsid w:val="053274F3"/>
    <w:rsid w:val="066E0107"/>
    <w:rsid w:val="07996F6E"/>
    <w:rsid w:val="07DFD8BA"/>
    <w:rsid w:val="0A2032A3"/>
    <w:rsid w:val="0D35B1ED"/>
    <w:rsid w:val="0E7ED1F5"/>
    <w:rsid w:val="0F98263C"/>
    <w:rsid w:val="101860EC"/>
    <w:rsid w:val="10C055FF"/>
    <w:rsid w:val="118107EC"/>
    <w:rsid w:val="13D50BC4"/>
    <w:rsid w:val="13F5616D"/>
    <w:rsid w:val="16BB723D"/>
    <w:rsid w:val="17F9714D"/>
    <w:rsid w:val="1918F934"/>
    <w:rsid w:val="1A0F674F"/>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5B90DF8"/>
    <w:rsid w:val="29FD04D3"/>
    <w:rsid w:val="2BFF7BC6"/>
    <w:rsid w:val="2C673D4A"/>
    <w:rsid w:val="2C8A61B5"/>
    <w:rsid w:val="2CD59C95"/>
    <w:rsid w:val="2DF04E50"/>
    <w:rsid w:val="2E4745E5"/>
    <w:rsid w:val="2EFD05E5"/>
    <w:rsid w:val="2F040D46"/>
    <w:rsid w:val="2F4F95CE"/>
    <w:rsid w:val="2FACAFDD"/>
    <w:rsid w:val="2FAE5751"/>
    <w:rsid w:val="2FB1A395"/>
    <w:rsid w:val="2FCF0B76"/>
    <w:rsid w:val="2FD9A7D8"/>
    <w:rsid w:val="319F7F4E"/>
    <w:rsid w:val="3304709D"/>
    <w:rsid w:val="34D2558B"/>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452E4A"/>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7BD3DD4"/>
    <w:rsid w:val="57F9CD1E"/>
    <w:rsid w:val="5AF92295"/>
    <w:rsid w:val="5AF9D8E9"/>
    <w:rsid w:val="5BDD38BD"/>
    <w:rsid w:val="5BDD79E6"/>
    <w:rsid w:val="5BEFC772"/>
    <w:rsid w:val="5BFF5DFC"/>
    <w:rsid w:val="5C872DC1"/>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07C566D"/>
    <w:rsid w:val="61CA71D5"/>
    <w:rsid w:val="627EE9EA"/>
    <w:rsid w:val="63B23AA5"/>
    <w:rsid w:val="647F5392"/>
    <w:rsid w:val="64E322C4"/>
    <w:rsid w:val="65FB93B9"/>
    <w:rsid w:val="6633C463"/>
    <w:rsid w:val="67D55B77"/>
    <w:rsid w:val="67EE7F84"/>
    <w:rsid w:val="686F5F53"/>
    <w:rsid w:val="68C1535A"/>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4158FF"/>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2306E7"/>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A150B"/>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80" w:lineRule="exact"/>
      <w:jc w:val="center"/>
      <w:outlineLvl w:val="0"/>
    </w:pPr>
    <w:rPr>
      <w:rFonts w:ascii="Times New Roman" w:hAnsi="Times New Roman" w:eastAsia="黑体"/>
      <w:b/>
      <w:bCs/>
      <w:kern w:val="44"/>
      <w:sz w:val="44"/>
      <w:szCs w:val="44"/>
    </w:rPr>
  </w:style>
  <w:style w:type="paragraph" w:styleId="4">
    <w:name w:val="heading 2"/>
    <w:basedOn w:val="1"/>
    <w:next w:val="1"/>
    <w:link w:val="32"/>
    <w:unhideWhenUsed/>
    <w:qFormat/>
    <w:uiPriority w:val="9"/>
    <w:pPr>
      <w:keepNext/>
      <w:keepLines/>
      <w:spacing w:line="580" w:lineRule="exact"/>
      <w:ind w:firstLine="1440" w:firstLineChars="200"/>
      <w:outlineLvl w:val="1"/>
    </w:pPr>
    <w:rPr>
      <w:rFonts w:eastAsia="黑体" w:asciiTheme="majorAscii" w:hAnsiTheme="majorAscii"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hint="default" w:ascii="Cambria" w:hAnsi="Cambria" w:eastAsia="宋体" w:cs="Cambria"/>
      <w:sz w:val="24"/>
      <w:szCs w:val="24"/>
    </w:rPr>
  </w:style>
  <w:style w:type="paragraph" w:styleId="6">
    <w:name w:val="Body Text"/>
    <w:basedOn w:val="1"/>
    <w:next w:val="1"/>
    <w:link w:val="28"/>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ody Text Indent 2"/>
    <w:basedOn w:val="1"/>
    <w:qFormat/>
    <w:uiPriority w:val="99"/>
    <w:pPr>
      <w:spacing w:after="120" w:line="480" w:lineRule="auto"/>
      <w:ind w:left="420" w:leftChars="2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15"/>
    <w:unhideWhenUsed/>
    <w:qFormat/>
    <w:uiPriority w:val="99"/>
    <w:pPr>
      <w:suppressAutoHyphens/>
      <w:snapToGrid w:val="0"/>
    </w:pPr>
    <w:rPr>
      <w:rFonts w:hint="default"/>
      <w:sz w:val="18"/>
      <w:szCs w:val="24"/>
    </w:rPr>
  </w:style>
  <w:style w:type="paragraph" w:styleId="15">
    <w:name w:val="Body Text First Indent 2"/>
    <w:basedOn w:val="7"/>
    <w:next w:val="1"/>
    <w:unhideWhenUsed/>
    <w:qFormat/>
    <w:uiPriority w:val="99"/>
    <w:pPr>
      <w:ind w:firstLine="420" w:firstLineChars="200"/>
    </w:p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9"/>
    <w:semiHidden/>
    <w:qFormat/>
    <w:uiPriority w:val="99"/>
    <w:rPr>
      <w:rFonts w:ascii="Times New Roman" w:hAnsi="Times New Roman"/>
      <w:sz w:val="18"/>
      <w:szCs w:val="18"/>
    </w:rPr>
  </w:style>
  <w:style w:type="character" w:customStyle="1" w:styleId="24">
    <w:name w:val="页眉 字符"/>
    <w:link w:val="12"/>
    <w:semiHidden/>
    <w:qFormat/>
    <w:locked/>
    <w:uiPriority w:val="99"/>
    <w:rPr>
      <w:sz w:val="18"/>
    </w:rPr>
  </w:style>
  <w:style w:type="character" w:customStyle="1" w:styleId="25">
    <w:name w:val="Footer Char"/>
    <w:basedOn w:val="19"/>
    <w:semiHidden/>
    <w:qFormat/>
    <w:uiPriority w:val="99"/>
    <w:rPr>
      <w:rFonts w:ascii="Times New Roman" w:hAnsi="Times New Roman"/>
      <w:sz w:val="18"/>
      <w:szCs w:val="18"/>
    </w:rPr>
  </w:style>
  <w:style w:type="character" w:customStyle="1" w:styleId="26">
    <w:name w:val="页脚 字符"/>
    <w:link w:val="11"/>
    <w:qFormat/>
    <w:locked/>
    <w:uiPriority w:val="99"/>
    <w:rPr>
      <w:sz w:val="18"/>
    </w:rPr>
  </w:style>
  <w:style w:type="character" w:customStyle="1" w:styleId="27">
    <w:name w:val="Body Text Char"/>
    <w:basedOn w:val="19"/>
    <w:semiHidden/>
    <w:qFormat/>
    <w:uiPriority w:val="99"/>
    <w:rPr>
      <w:rFonts w:ascii="Times New Roman" w:hAnsi="Times New Roman"/>
      <w:szCs w:val="24"/>
    </w:rPr>
  </w:style>
  <w:style w:type="character" w:customStyle="1" w:styleId="28">
    <w:name w:val="正文文本 字符"/>
    <w:link w:val="6"/>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9"/>
    <w:link w:val="3"/>
    <w:qFormat/>
    <w:uiPriority w:val="9"/>
    <w:rPr>
      <w:rFonts w:ascii="Times New Roman" w:hAnsi="Times New Roman" w:eastAsia="黑体"/>
      <w:b/>
      <w:bCs/>
      <w:kern w:val="44"/>
      <w:sz w:val="44"/>
      <w:szCs w:val="44"/>
    </w:rPr>
  </w:style>
  <w:style w:type="character" w:customStyle="1" w:styleId="32">
    <w:name w:val="标题 2 字符"/>
    <w:basedOn w:val="19"/>
    <w:link w:val="4"/>
    <w:qFormat/>
    <w:uiPriority w:val="9"/>
    <w:rPr>
      <w:rFonts w:eastAsia="黑体" w:asciiTheme="majorAscii" w:hAnsiTheme="majorAscii"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9"/>
    <w:link w:val="10"/>
    <w:semiHidden/>
    <w:qFormat/>
    <w:uiPriority w:val="99"/>
    <w:rPr>
      <w:rFonts w:ascii="Times New Roman" w:hAnsi="Times New Roman"/>
      <w:kern w:val="2"/>
      <w:sz w:val="18"/>
      <w:szCs w:val="18"/>
    </w:rPr>
  </w:style>
  <w:style w:type="character" w:customStyle="1" w:styleId="35">
    <w:name w:val="标题 3 字符"/>
    <w:basedOn w:val="19"/>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character" w:customStyle="1" w:styleId="38">
    <w:name w:val="font01"/>
    <w:basedOn w:val="19"/>
    <w:qFormat/>
    <w:uiPriority w:val="0"/>
    <w:rPr>
      <w:rFonts w:hint="eastAsia" w:ascii="宋体" w:hAnsi="宋体" w:eastAsia="宋体" w:cs="宋体"/>
      <w:color w:val="000000"/>
      <w:sz w:val="18"/>
      <w:szCs w:val="18"/>
      <w:u w:val="none"/>
    </w:rPr>
  </w:style>
  <w:style w:type="character" w:customStyle="1" w:styleId="39">
    <w:name w:val="font21"/>
    <w:basedOn w:val="19"/>
    <w:qFormat/>
    <w:uiPriority w:val="0"/>
    <w:rPr>
      <w:rFonts w:hint="eastAsia" w:ascii="宋体" w:hAnsi="宋体" w:eastAsia="宋体" w:cs="宋体"/>
      <w:color w:val="000000"/>
      <w:sz w:val="18"/>
      <w:szCs w:val="18"/>
      <w:u w:val="none"/>
    </w:rPr>
  </w:style>
  <w:style w:type="paragraph" w:customStyle="1" w:styleId="40">
    <w:name w:val="WPSOffice手动目录 1"/>
    <w:qFormat/>
    <w:uiPriority w:val="0"/>
    <w:pPr>
      <w:ind w:leftChars="0"/>
    </w:pPr>
    <w:rPr>
      <w:rFonts w:asciiTheme="minorHAnsi" w:hAnsiTheme="minorHAnsi" w:eastAsiaTheme="minorEastAsia" w:cstheme="minorBidi"/>
      <w:sz w:val="20"/>
      <w:szCs w:val="20"/>
    </w:rPr>
  </w:style>
  <w:style w:type="paragraph" w:customStyle="1" w:styleId="4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dLbl>
              <c:idx val="0"/>
              <c:layout>
                <c:manualLayout>
                  <c:x val="0.00293987946494194"/>
                  <c:y val="0.03256445047489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3266.43</c:v>
                </c:pt>
                <c:pt idx="1">
                  <c:v>3199.29</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2"/>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721188518678783"/>
                  <c:y val="0.03052359708851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96639261503"/>
                  <c:y val="-0.054003287156609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政府性基金预算财政拨款收入</c:v>
                </c:pt>
                <c:pt idx="1">
                  <c:v>一般公共预算财政拨款收入</c:v>
                </c:pt>
                <c:pt idx="2">
                  <c:v>其他收入</c:v>
                </c:pt>
              </c:strCache>
            </c:strRef>
          </c:cat>
          <c:val>
            <c:numRef>
              <c:f>Sheet1!$B$2:$B$4</c:f>
              <c:numCache>
                <c:formatCode>0.00%</c:formatCode>
                <c:ptCount val="3"/>
                <c:pt idx="0">
                  <c:v>0.0089</c:v>
                </c:pt>
                <c:pt idx="1">
                  <c:v>0.9903</c:v>
                </c:pt>
                <c:pt idx="2">
                  <c:v>0.0008</c:v>
                </c:pt>
              </c:numCache>
            </c:numRef>
          </c:val>
        </c:ser>
        <c:dLbls>
          <c:showLegendKey val="0"/>
          <c:showVal val="1"/>
          <c:showCatName val="0"/>
          <c:showSerName val="0"/>
          <c:showPercent val="0"/>
          <c:showBubbleSize val="0"/>
          <c:showLeaderLines val="1"/>
        </c:dLbls>
        <c:firstSliceAng val="83"/>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0.8667</c:v>
                </c:pt>
                <c:pt idx="1">
                  <c:v>0.1333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dLbl>
              <c:idx val="0"/>
              <c:layout>
                <c:manualLayout>
                  <c:x val="0"/>
                  <c:y val="0.02519526329050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3266.43</c:v>
                </c:pt>
                <c:pt idx="1">
                  <c:v>3177.6</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spc="-100">
                <a:solidFill>
                  <a:schemeClr val="tx1">
                    <a:lumMod val="65000"/>
                    <a:lumOff val="35000"/>
                  </a:schemeClr>
                </a:solidFill>
                <a:uFillTx/>
              </a:rPr>
              <a:t>一般公共预算财政拨款支出决算变动情况图</a:t>
            </a:r>
            <a:endParaRPr sz="1400" spc="-100">
              <a:solidFill>
                <a:schemeClr val="tx1">
                  <a:lumMod val="65000"/>
                  <a:lumOff val="35000"/>
                </a:schemeClr>
              </a:solidFill>
              <a:uFillTx/>
            </a:endParaRPr>
          </a:p>
        </c:rich>
      </c:tx>
      <c:layout>
        <c:manualLayout>
          <c:xMode val="edge"/>
          <c:yMode val="edge"/>
          <c:x val="0.119873585183008"/>
          <c:y val="0.030234315948601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2937.58</c:v>
                </c:pt>
                <c:pt idx="1">
                  <c:v>3149.43</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manualLayout>
          <c:xMode val="edge"/>
          <c:yMode val="edge"/>
          <c:x val="0.158167803142603"/>
          <c:y val="0.0302343159486017"/>
        </c:manualLayout>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132294575922387"/>
                  <c:y val="0.010854816824966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29178303689549"/>
                  <c:y val="-0.008141112618724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一般公共服务支出</c:v>
                </c:pt>
                <c:pt idx="1">
                  <c:v>社会保障和就业支出</c:v>
                </c:pt>
                <c:pt idx="2">
                  <c:v>住房保障支出</c:v>
                </c:pt>
                <c:pt idx="3">
                  <c:v>卫生健康支出</c:v>
                </c:pt>
                <c:pt idx="4">
                  <c:v>农林水支出</c:v>
                </c:pt>
              </c:strCache>
            </c:strRef>
          </c:cat>
          <c:val>
            <c:numRef>
              <c:f>Sheet1!$B$2:$B$6</c:f>
              <c:numCache>
                <c:formatCode>0.00%</c:formatCode>
                <c:ptCount val="5"/>
                <c:pt idx="0">
                  <c:v>0.8155</c:v>
                </c:pt>
                <c:pt idx="1">
                  <c:v>0.091</c:v>
                </c:pt>
                <c:pt idx="2">
                  <c:v>0.0622</c:v>
                </c:pt>
                <c:pt idx="3">
                  <c:v>0.0292</c:v>
                </c:pt>
                <c:pt idx="4">
                  <c:v>0.0021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经费财政拨款支出结构图</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3"/>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2"/>
              </a:solidFill>
              <a:ln w="19050">
                <a:solidFill>
                  <a:schemeClr val="lt1"/>
                </a:solidFill>
              </a:ln>
              <a:effectLst/>
            </c:spPr>
          </c:dPt>
          <c:dLbls>
            <c:dLbl>
              <c:idx val="0"/>
              <c:layout>
                <c:manualLayout>
                  <c:x val="0.0396883727767162"/>
                  <c:y val="-0.008141112618724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42584154049684"/>
                  <c:y val="-0.1763907734056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0%</c:formatCode>
                <c:ptCount val="3"/>
                <c:pt idx="0">
                  <c:v>0</c:v>
                </c:pt>
                <c:pt idx="1" c:formatCode="0.00%">
                  <c:v>0.9269</c:v>
                </c:pt>
                <c:pt idx="2" c:formatCode="0.00%">
                  <c:v>0.0731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912538585918"/>
          <c:y val="0.345997286295794"/>
          <c:w val="0.345435837130678"/>
          <c:h val="0.41546811397557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95</Pages>
  <Words>47048</Words>
  <Characters>50235</Characters>
  <Lines>72</Lines>
  <Paragraphs>20</Paragraphs>
  <TotalTime>1</TotalTime>
  <ScaleCrop>false</ScaleCrop>
  <LinksUpToDate>false</LinksUpToDate>
  <CharactersWithSpaces>50702</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k</cp:lastModifiedBy>
  <cp:lastPrinted>2023-08-03T10:35:00Z</cp:lastPrinted>
  <dcterms:modified xsi:type="dcterms:W3CDTF">2024-10-18T01:49:41Z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B5DFD32D35A249F38E7235389B35A31B</vt:lpwstr>
  </property>
</Properties>
</file>